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新魏" w:hAnsi="宋体" w:eastAsia="华文新魏"/>
          <w:b/>
          <w:kern w:val="0"/>
          <w:sz w:val="44"/>
          <w:szCs w:val="20"/>
        </w:rPr>
      </w:pPr>
    </w:p>
    <w:p>
      <w:pPr>
        <w:adjustRightInd w:val="0"/>
        <w:snapToGrid w:val="0"/>
        <w:jc w:val="center"/>
        <w:rPr>
          <w:rFonts w:ascii="华文新魏" w:hAnsi="宋体" w:eastAsia="华文新魏"/>
          <w:b/>
          <w:kern w:val="0"/>
          <w:sz w:val="44"/>
          <w:szCs w:val="20"/>
        </w:rPr>
      </w:pPr>
    </w:p>
    <w:p>
      <w:pPr>
        <w:jc w:val="center"/>
        <w:rPr>
          <w:rFonts w:ascii="黑体" w:eastAsia="黑体"/>
          <w:b/>
          <w:w w:val="75"/>
          <w:sz w:val="72"/>
          <w:szCs w:val="72"/>
        </w:rPr>
      </w:pPr>
      <w:r>
        <w:rPr>
          <w:rFonts w:hint="eastAsia" w:ascii="宋体" w:hAnsi="宋体" w:eastAsia="黑体" w:cs="宋体"/>
          <w:b/>
          <w:bCs/>
          <w:kern w:val="0"/>
          <w:sz w:val="44"/>
          <w:szCs w:val="44"/>
        </w:rPr>
        <w:t>冬瓜山铜矿尾矿远程输送与制备固化回填工程尾矿回填制备系统</w:t>
      </w:r>
    </w:p>
    <w:p>
      <w:pPr>
        <w:spacing w:line="360" w:lineRule="auto"/>
        <w:jc w:val="center"/>
        <w:rPr>
          <w:rFonts w:ascii="宋体" w:hAnsi="宋体"/>
          <w:b/>
          <w:sz w:val="52"/>
          <w:szCs w:val="52"/>
        </w:rPr>
      </w:pPr>
    </w:p>
    <w:p>
      <w:pPr>
        <w:spacing w:line="360" w:lineRule="auto"/>
        <w:jc w:val="center"/>
        <w:rPr>
          <w:rFonts w:ascii="宋体" w:hAnsi="宋体"/>
          <w:b/>
          <w:sz w:val="52"/>
          <w:szCs w:val="52"/>
        </w:rPr>
      </w:pPr>
    </w:p>
    <w:p>
      <w:pPr>
        <w:spacing w:line="360" w:lineRule="auto"/>
        <w:jc w:val="center"/>
        <w:rPr>
          <w:rFonts w:ascii="宋体" w:hAnsi="宋体"/>
          <w:b/>
          <w:sz w:val="52"/>
          <w:szCs w:val="52"/>
        </w:rPr>
      </w:pPr>
      <w:r>
        <w:rPr>
          <w:rFonts w:ascii="宋体" w:hAnsi="宋体"/>
          <w:b/>
          <w:sz w:val="52"/>
          <w:szCs w:val="52"/>
        </w:rPr>
        <w:t>技</w:t>
      </w:r>
    </w:p>
    <w:p>
      <w:pPr>
        <w:spacing w:line="360" w:lineRule="auto"/>
        <w:jc w:val="center"/>
        <w:rPr>
          <w:rFonts w:ascii="宋体" w:hAnsi="宋体"/>
          <w:b/>
          <w:sz w:val="52"/>
          <w:szCs w:val="52"/>
        </w:rPr>
      </w:pPr>
      <w:r>
        <w:rPr>
          <w:rFonts w:ascii="宋体" w:hAnsi="宋体"/>
          <w:b/>
          <w:sz w:val="52"/>
          <w:szCs w:val="52"/>
        </w:rPr>
        <w:t>术</w:t>
      </w:r>
    </w:p>
    <w:p>
      <w:pPr>
        <w:spacing w:line="360" w:lineRule="auto"/>
        <w:jc w:val="center"/>
        <w:rPr>
          <w:rFonts w:ascii="宋体" w:hAnsi="宋体"/>
          <w:b/>
          <w:sz w:val="52"/>
          <w:szCs w:val="52"/>
        </w:rPr>
      </w:pPr>
      <w:r>
        <w:rPr>
          <w:rFonts w:ascii="宋体" w:hAnsi="宋体"/>
          <w:b/>
          <w:sz w:val="52"/>
          <w:szCs w:val="52"/>
        </w:rPr>
        <w:t>协</w:t>
      </w:r>
    </w:p>
    <w:p>
      <w:pPr>
        <w:spacing w:line="360" w:lineRule="auto"/>
        <w:jc w:val="center"/>
        <w:rPr>
          <w:rFonts w:ascii="宋体" w:hAnsi="宋体"/>
          <w:b/>
          <w:sz w:val="52"/>
          <w:szCs w:val="52"/>
        </w:rPr>
      </w:pPr>
      <w:r>
        <w:rPr>
          <w:rFonts w:ascii="宋体" w:hAnsi="宋体"/>
          <w:b/>
          <w:sz w:val="52"/>
          <w:szCs w:val="52"/>
        </w:rPr>
        <w:t>议</w:t>
      </w:r>
    </w:p>
    <w:p>
      <w:pPr>
        <w:jc w:val="center"/>
        <w:rPr>
          <w:rFonts w:ascii="黑体" w:hAnsi="华文中宋" w:eastAsia="黑体"/>
          <w:b/>
          <w:sz w:val="84"/>
          <w:szCs w:val="84"/>
        </w:rPr>
      </w:pPr>
    </w:p>
    <w:p>
      <w:pPr>
        <w:rPr>
          <w:rFonts w:ascii="金山简隶书" w:eastAsia="金山简隶书"/>
          <w:sz w:val="30"/>
        </w:rPr>
      </w:pPr>
    </w:p>
    <w:p>
      <w:pPr>
        <w:rPr>
          <w:rFonts w:ascii="金山简隶书" w:eastAsia="金山简隶书"/>
          <w:sz w:val="30"/>
        </w:rPr>
      </w:pPr>
    </w:p>
    <w:p>
      <w:pPr>
        <w:spacing w:line="480" w:lineRule="auto"/>
        <w:rPr>
          <w:rFonts w:ascii="仿宋_GB2312" w:eastAsia="仿宋_GB2312"/>
          <w:b/>
          <w:bCs/>
          <w:sz w:val="32"/>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hint="eastAsia"/>
          <w:b/>
        </w:rPr>
        <w:t>目录</w:t>
      </w:r>
    </w:p>
    <w:p>
      <w:pPr>
        <w:pStyle w:val="50"/>
        <w:tabs>
          <w:tab w:val="right" w:leader="dot" w:pos="8489"/>
        </w:tabs>
      </w:pPr>
      <w:bookmarkStart w:id="0" w:name="_Toc456080774"/>
      <w:bookmarkStart w:id="1" w:name="_Toc16712"/>
      <w:bookmarkStart w:id="2" w:name="_Toc20727"/>
      <w:bookmarkStart w:id="3" w:name="_Toc28418"/>
      <w:r>
        <w:rPr>
          <w:rFonts w:asciiTheme="minorEastAsia" w:hAnsiTheme="minorEastAsia" w:eastAsiaTheme="minorEastAsia" w:cstheme="minorEastAsia"/>
          <w:b/>
          <w:bCs/>
          <w:sz w:val="20"/>
          <w:szCs w:val="20"/>
        </w:rPr>
        <w:fldChar w:fldCharType="begin"/>
      </w:r>
      <w:r>
        <w:rPr>
          <w:rFonts w:asciiTheme="minorEastAsia" w:hAnsiTheme="minorEastAsia" w:eastAsiaTheme="minorEastAsia" w:cstheme="minorEastAsia"/>
          <w:b/>
          <w:bCs/>
          <w:sz w:val="20"/>
          <w:szCs w:val="20"/>
        </w:rPr>
        <w:instrText xml:space="preserve"> TOC \o "1-3" \h \z \u </w:instrText>
      </w:r>
      <w:r>
        <w:rPr>
          <w:rFonts w:asciiTheme="minorEastAsia" w:hAnsiTheme="minorEastAsia" w:eastAsiaTheme="minorEastAsia" w:cstheme="minorEastAsia"/>
          <w:b/>
          <w:bCs/>
          <w:sz w:val="20"/>
          <w:szCs w:val="20"/>
        </w:rPr>
        <w:fldChar w:fldCharType="separate"/>
      </w: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_Toc24585 </w:instrText>
      </w:r>
      <w:r>
        <w:rPr>
          <w:rFonts w:asciiTheme="minorEastAsia" w:hAnsiTheme="minorEastAsia" w:eastAsiaTheme="minorEastAsia" w:cstheme="minorEastAsia"/>
          <w:bCs/>
          <w:szCs w:val="20"/>
        </w:rPr>
        <w:fldChar w:fldCharType="separate"/>
      </w:r>
      <w:r>
        <w:rPr>
          <w:rFonts w:hint="eastAsia" w:hAnsi="宋体"/>
          <w:kern w:val="44"/>
          <w:szCs w:val="36"/>
        </w:rPr>
        <w:t>总  则</w:t>
      </w:r>
      <w:r>
        <w:tab/>
      </w:r>
      <w:r>
        <w:fldChar w:fldCharType="begin"/>
      </w:r>
      <w:r>
        <w:instrText xml:space="preserve"> PAGEREF _Toc24585 </w:instrText>
      </w:r>
      <w:r>
        <w:fldChar w:fldCharType="separate"/>
      </w:r>
      <w:r>
        <w:t>1</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_Toc4718 </w:instrText>
      </w:r>
      <w:r>
        <w:rPr>
          <w:rFonts w:asciiTheme="minorEastAsia" w:hAnsiTheme="minorEastAsia" w:eastAsiaTheme="minorEastAsia" w:cstheme="minorEastAsia"/>
          <w:bCs/>
          <w:szCs w:val="20"/>
        </w:rPr>
        <w:fldChar w:fldCharType="separate"/>
      </w:r>
      <w:r>
        <w:rPr>
          <w:rFonts w:hint="eastAsia" w:hAnsi="宋体"/>
          <w:kern w:val="44"/>
          <w:szCs w:val="36"/>
        </w:rPr>
        <w:t>第一条 系统建设执行规范</w:t>
      </w:r>
      <w:r>
        <w:tab/>
      </w:r>
      <w:r>
        <w:fldChar w:fldCharType="begin"/>
      </w:r>
      <w:r>
        <w:instrText xml:space="preserve"> PAGEREF _Toc4718 </w:instrText>
      </w:r>
      <w:r>
        <w:fldChar w:fldCharType="separate"/>
      </w:r>
      <w:r>
        <w:t>2</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_Toc31285 </w:instrText>
      </w:r>
      <w:r>
        <w:rPr>
          <w:rFonts w:asciiTheme="minorEastAsia" w:hAnsiTheme="minorEastAsia" w:eastAsiaTheme="minorEastAsia" w:cstheme="minorEastAsia"/>
          <w:bCs/>
          <w:szCs w:val="20"/>
        </w:rPr>
        <w:fldChar w:fldCharType="separate"/>
      </w:r>
      <w:r>
        <w:rPr>
          <w:rFonts w:hAnsi="宋体"/>
          <w:kern w:val="44"/>
          <w:szCs w:val="36"/>
        </w:rPr>
        <w:t>第</w:t>
      </w:r>
      <w:r>
        <w:rPr>
          <w:rFonts w:hint="eastAsia" w:hAnsi="宋体"/>
          <w:kern w:val="44"/>
          <w:szCs w:val="36"/>
        </w:rPr>
        <w:t>二</w:t>
      </w:r>
      <w:r>
        <w:rPr>
          <w:rFonts w:hAnsi="宋体"/>
          <w:kern w:val="44"/>
          <w:szCs w:val="36"/>
        </w:rPr>
        <w:t>条</w:t>
      </w:r>
      <w:r>
        <w:rPr>
          <w:rFonts w:hint="eastAsia" w:hAnsi="宋体"/>
          <w:kern w:val="44"/>
          <w:szCs w:val="36"/>
        </w:rPr>
        <w:t xml:space="preserve"> 系统总体目标及技术要求</w:t>
      </w:r>
      <w:r>
        <w:tab/>
      </w:r>
      <w:r>
        <w:fldChar w:fldCharType="begin"/>
      </w:r>
      <w:r>
        <w:instrText xml:space="preserve"> PAGEREF _Toc31285 </w:instrText>
      </w:r>
      <w:r>
        <w:fldChar w:fldCharType="separate"/>
      </w:r>
      <w:r>
        <w:t>5</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_Toc18408 </w:instrText>
      </w:r>
      <w:r>
        <w:rPr>
          <w:rFonts w:asciiTheme="minorEastAsia" w:hAnsiTheme="minorEastAsia" w:eastAsiaTheme="minorEastAsia" w:cstheme="minorEastAsia"/>
          <w:bCs/>
          <w:szCs w:val="20"/>
        </w:rPr>
        <w:fldChar w:fldCharType="separate"/>
      </w:r>
      <w:r>
        <w:rPr>
          <w:rFonts w:hint="eastAsia" w:ascii="宋体" w:hAnsi="宋体" w:cs="Courier New"/>
          <w:bCs/>
        </w:rPr>
        <w:t>一、系统运行环境</w:t>
      </w:r>
      <w:r>
        <w:tab/>
      </w:r>
      <w:r>
        <w:fldChar w:fldCharType="begin"/>
      </w:r>
      <w:r>
        <w:instrText xml:space="preserve"> PAGEREF _Toc18408 </w:instrText>
      </w:r>
      <w:r>
        <w:fldChar w:fldCharType="separate"/>
      </w:r>
      <w:r>
        <w:t>5</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_Toc2533 </w:instrText>
      </w:r>
      <w:r>
        <w:rPr>
          <w:rFonts w:asciiTheme="minorEastAsia" w:hAnsiTheme="minorEastAsia" w:eastAsiaTheme="minorEastAsia" w:cstheme="minorEastAsia"/>
          <w:bCs/>
          <w:szCs w:val="20"/>
        </w:rPr>
        <w:fldChar w:fldCharType="separate"/>
      </w:r>
      <w:r>
        <w:rPr>
          <w:rFonts w:hint="eastAsia" w:ascii="宋体" w:hAnsi="宋体" w:cs="Courier New"/>
          <w:bCs/>
        </w:rPr>
        <w:t>二</w:t>
      </w:r>
      <w:r>
        <w:rPr>
          <w:rFonts w:ascii="宋体" w:hAnsi="宋体" w:cs="Courier New"/>
          <w:bCs/>
        </w:rPr>
        <w:t>、</w:t>
      </w:r>
      <w:r>
        <w:rPr>
          <w:rFonts w:hint="eastAsia" w:ascii="宋体" w:hAnsi="宋体" w:cs="Courier New"/>
          <w:bCs/>
        </w:rPr>
        <w:t>工程范围</w:t>
      </w:r>
      <w:r>
        <w:tab/>
      </w:r>
      <w:r>
        <w:fldChar w:fldCharType="begin"/>
      </w:r>
      <w:r>
        <w:instrText xml:space="preserve"> PAGEREF _Toc2533 </w:instrText>
      </w:r>
      <w:r>
        <w:fldChar w:fldCharType="separate"/>
      </w:r>
      <w:r>
        <w:t>5</w:t>
      </w:r>
      <w:r>
        <w:fldChar w:fldCharType="end"/>
      </w:r>
      <w:r>
        <w:rPr>
          <w:rFonts w:asciiTheme="minorEastAsia" w:hAnsiTheme="minorEastAsia" w:eastAsiaTheme="minorEastAsia" w:cstheme="minorEastAsia"/>
          <w:bCs/>
          <w:szCs w:val="20"/>
        </w:rPr>
        <w:fldChar w:fldCharType="end"/>
      </w:r>
    </w:p>
    <w:p>
      <w:pPr>
        <w:pStyle w:val="36"/>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_Toc21536 </w:instrText>
      </w:r>
      <w:r>
        <w:rPr>
          <w:rFonts w:asciiTheme="minorEastAsia" w:hAnsiTheme="minorEastAsia" w:eastAsiaTheme="minorEastAsia" w:cstheme="minorEastAsia"/>
          <w:bCs/>
          <w:szCs w:val="20"/>
        </w:rPr>
        <w:fldChar w:fldCharType="separate"/>
      </w:r>
      <w:r>
        <w:rPr>
          <w:rFonts w:hint="eastAsia" w:ascii="宋体" w:hAnsi="宋体" w:cs="Courier New"/>
          <w:bCs/>
        </w:rPr>
        <w:t>2.1建设目标</w:t>
      </w:r>
      <w:r>
        <w:tab/>
      </w:r>
      <w:r>
        <w:fldChar w:fldCharType="begin"/>
      </w:r>
      <w:r>
        <w:instrText xml:space="preserve"> PAGEREF _Toc21536 </w:instrText>
      </w:r>
      <w:r>
        <w:fldChar w:fldCharType="separate"/>
      </w:r>
      <w:r>
        <w:t>5</w:t>
      </w:r>
      <w:r>
        <w:fldChar w:fldCharType="end"/>
      </w:r>
      <w:r>
        <w:rPr>
          <w:rFonts w:asciiTheme="minorEastAsia" w:hAnsiTheme="minorEastAsia" w:eastAsiaTheme="minorEastAsia" w:cstheme="minorEastAsia"/>
          <w:bCs/>
          <w:szCs w:val="20"/>
        </w:rPr>
        <w:fldChar w:fldCharType="end"/>
      </w:r>
    </w:p>
    <w:p>
      <w:pPr>
        <w:pStyle w:val="36"/>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_Toc20625 </w:instrText>
      </w:r>
      <w:r>
        <w:rPr>
          <w:rFonts w:asciiTheme="minorEastAsia" w:hAnsiTheme="minorEastAsia" w:eastAsiaTheme="minorEastAsia" w:cstheme="minorEastAsia"/>
          <w:bCs/>
          <w:szCs w:val="20"/>
        </w:rPr>
        <w:fldChar w:fldCharType="separate"/>
      </w:r>
      <w:r>
        <w:rPr>
          <w:rFonts w:hint="eastAsia" w:ascii="宋体" w:hAnsi="宋体" w:cs="Courier New"/>
          <w:bCs/>
        </w:rPr>
        <w:t>2.2建设内容</w:t>
      </w:r>
      <w:r>
        <w:tab/>
      </w:r>
      <w:r>
        <w:fldChar w:fldCharType="begin"/>
      </w:r>
      <w:r>
        <w:instrText xml:space="preserve"> PAGEREF _Toc20625 </w:instrText>
      </w:r>
      <w:r>
        <w:fldChar w:fldCharType="separate"/>
      </w:r>
      <w:r>
        <w:t>5</w:t>
      </w:r>
      <w:r>
        <w:fldChar w:fldCharType="end"/>
      </w:r>
      <w:r>
        <w:rPr>
          <w:rFonts w:asciiTheme="minorEastAsia" w:hAnsiTheme="minorEastAsia" w:eastAsiaTheme="minorEastAsia" w:cstheme="minorEastAsia"/>
          <w:bCs/>
          <w:szCs w:val="20"/>
        </w:rPr>
        <w:fldChar w:fldCharType="end"/>
      </w:r>
    </w:p>
    <w:p>
      <w:pPr>
        <w:pStyle w:val="36"/>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_Toc26310 </w:instrText>
      </w:r>
      <w:r>
        <w:rPr>
          <w:rFonts w:asciiTheme="minorEastAsia" w:hAnsiTheme="minorEastAsia" w:eastAsiaTheme="minorEastAsia" w:cstheme="minorEastAsia"/>
          <w:bCs/>
          <w:szCs w:val="20"/>
        </w:rPr>
        <w:fldChar w:fldCharType="separate"/>
      </w:r>
      <w:r>
        <w:rPr>
          <w:rFonts w:hint="eastAsia" w:ascii="宋体" w:hAnsi="宋体" w:eastAsia="宋体" w:cs="Courier New"/>
          <w:bCs/>
        </w:rPr>
        <w:t>2.3控制方式</w:t>
      </w:r>
      <w:r>
        <w:tab/>
      </w:r>
      <w:r>
        <w:fldChar w:fldCharType="begin"/>
      </w:r>
      <w:r>
        <w:instrText xml:space="preserve"> PAGEREF _Toc26310 </w:instrText>
      </w:r>
      <w:r>
        <w:fldChar w:fldCharType="separate"/>
      </w:r>
      <w:r>
        <w:t>9</w:t>
      </w:r>
      <w:r>
        <w:fldChar w:fldCharType="end"/>
      </w:r>
      <w:r>
        <w:rPr>
          <w:rFonts w:asciiTheme="minorEastAsia" w:hAnsiTheme="minorEastAsia" w:eastAsiaTheme="minorEastAsia" w:cstheme="minorEastAsia"/>
          <w:bCs/>
          <w:szCs w:val="20"/>
        </w:rPr>
        <w:fldChar w:fldCharType="end"/>
      </w:r>
    </w:p>
    <w:p>
      <w:pPr>
        <w:pStyle w:val="36"/>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_Toc27326 </w:instrText>
      </w:r>
      <w:r>
        <w:rPr>
          <w:rFonts w:asciiTheme="minorEastAsia" w:hAnsiTheme="minorEastAsia" w:eastAsiaTheme="minorEastAsia" w:cstheme="minorEastAsia"/>
          <w:bCs/>
          <w:szCs w:val="20"/>
        </w:rPr>
        <w:fldChar w:fldCharType="separate"/>
      </w:r>
      <w:r>
        <w:rPr>
          <w:rFonts w:hint="eastAsia" w:ascii="宋体" w:hAnsi="宋体" w:cs="Courier New"/>
          <w:bCs/>
        </w:rPr>
        <w:t>2.</w:t>
      </w:r>
      <w:r>
        <w:rPr>
          <w:rFonts w:ascii="宋体" w:hAnsi="宋体" w:cs="Courier New"/>
          <w:bCs/>
        </w:rPr>
        <w:t>4</w:t>
      </w:r>
      <w:r>
        <w:rPr>
          <w:rFonts w:hint="eastAsia" w:ascii="宋体" w:hAnsi="宋体" w:cs="Courier New"/>
          <w:bCs/>
        </w:rPr>
        <w:t>软件设计</w:t>
      </w:r>
      <w:r>
        <w:tab/>
      </w:r>
      <w:r>
        <w:fldChar w:fldCharType="begin"/>
      </w:r>
      <w:r>
        <w:instrText xml:space="preserve"> PAGEREF _Toc27326 </w:instrText>
      </w:r>
      <w:r>
        <w:fldChar w:fldCharType="separate"/>
      </w:r>
      <w:r>
        <w:t>9</w:t>
      </w:r>
      <w:r>
        <w:fldChar w:fldCharType="end"/>
      </w:r>
      <w:r>
        <w:rPr>
          <w:rFonts w:asciiTheme="minorEastAsia" w:hAnsiTheme="minorEastAsia" w:eastAsiaTheme="minorEastAsia" w:cstheme="minorEastAsia"/>
          <w:bCs/>
          <w:szCs w:val="20"/>
        </w:rPr>
        <w:fldChar w:fldCharType="end"/>
      </w:r>
    </w:p>
    <w:p>
      <w:pPr>
        <w:pStyle w:val="36"/>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_Toc3969 </w:instrText>
      </w:r>
      <w:r>
        <w:rPr>
          <w:rFonts w:asciiTheme="minorEastAsia" w:hAnsiTheme="minorEastAsia" w:eastAsiaTheme="minorEastAsia" w:cstheme="minorEastAsia"/>
          <w:bCs/>
          <w:szCs w:val="20"/>
        </w:rPr>
        <w:fldChar w:fldCharType="separate"/>
      </w:r>
      <w:r>
        <w:rPr>
          <w:rFonts w:hint="eastAsia" w:ascii="宋体" w:hAnsi="宋体" w:eastAsia="宋体" w:cs="Courier New"/>
          <w:bCs/>
        </w:rPr>
        <w:t>2.5</w:t>
      </w:r>
      <w:r>
        <w:rPr>
          <w:rFonts w:hint="eastAsia" w:ascii="宋体" w:hAnsi="宋体" w:eastAsia="宋体" w:cs="Courier New"/>
          <w:bCs/>
          <w:lang w:eastAsia="zh-CN"/>
        </w:rPr>
        <w:t>软件主要功能</w:t>
      </w:r>
      <w:r>
        <w:tab/>
      </w:r>
      <w:r>
        <w:fldChar w:fldCharType="begin"/>
      </w:r>
      <w:r>
        <w:instrText xml:space="preserve"> PAGEREF _Toc3969 </w:instrText>
      </w:r>
      <w:r>
        <w:fldChar w:fldCharType="separate"/>
      </w:r>
      <w:r>
        <w:t>10</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_Toc16865 </w:instrText>
      </w:r>
      <w:r>
        <w:rPr>
          <w:rFonts w:asciiTheme="minorEastAsia" w:hAnsiTheme="minorEastAsia" w:eastAsiaTheme="minorEastAsia" w:cstheme="minorEastAsia"/>
          <w:bCs/>
          <w:szCs w:val="20"/>
        </w:rPr>
        <w:fldChar w:fldCharType="separate"/>
      </w:r>
      <w:r>
        <w:rPr>
          <w:rFonts w:hint="eastAsia" w:hAnsi="宋体"/>
          <w:kern w:val="44"/>
          <w:szCs w:val="36"/>
        </w:rPr>
        <w:t>第三条 技术协作内容</w:t>
      </w:r>
      <w:r>
        <w:tab/>
      </w:r>
      <w:r>
        <w:fldChar w:fldCharType="begin"/>
      </w:r>
      <w:r>
        <w:instrText xml:space="preserve"> PAGEREF _Toc16865 </w:instrText>
      </w:r>
      <w:r>
        <w:fldChar w:fldCharType="separate"/>
      </w:r>
      <w:r>
        <w:t>12</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_Toc28855 </w:instrText>
      </w:r>
      <w:r>
        <w:rPr>
          <w:rFonts w:asciiTheme="minorEastAsia" w:hAnsiTheme="minorEastAsia" w:eastAsiaTheme="minorEastAsia" w:cstheme="minorEastAsia"/>
          <w:bCs/>
          <w:szCs w:val="20"/>
        </w:rPr>
        <w:fldChar w:fldCharType="separate"/>
      </w:r>
      <w:r>
        <w:rPr>
          <w:rFonts w:hint="eastAsia" w:ascii="宋体" w:hAnsi="宋体" w:cs="Courier New"/>
          <w:bCs/>
        </w:rPr>
        <w:t>一</w:t>
      </w:r>
      <w:r>
        <w:rPr>
          <w:rFonts w:ascii="宋体" w:hAnsi="宋体" w:cs="Courier New"/>
          <w:bCs/>
        </w:rPr>
        <w:t>、</w:t>
      </w:r>
      <w:r>
        <w:rPr>
          <w:rFonts w:hint="eastAsia" w:ascii="宋体" w:hAnsi="宋体" w:cs="Courier New"/>
          <w:bCs/>
        </w:rPr>
        <w:t>甲方的责任及需提供的服务范围</w:t>
      </w:r>
      <w:r>
        <w:tab/>
      </w:r>
      <w:r>
        <w:fldChar w:fldCharType="begin"/>
      </w:r>
      <w:r>
        <w:instrText xml:space="preserve"> PAGEREF _Toc28855 </w:instrText>
      </w:r>
      <w:r>
        <w:fldChar w:fldCharType="separate"/>
      </w:r>
      <w:r>
        <w:t>12</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_Toc23176 </w:instrText>
      </w:r>
      <w:r>
        <w:rPr>
          <w:rFonts w:asciiTheme="minorEastAsia" w:hAnsiTheme="minorEastAsia" w:eastAsiaTheme="minorEastAsia" w:cstheme="minorEastAsia"/>
          <w:bCs/>
          <w:szCs w:val="20"/>
        </w:rPr>
        <w:fldChar w:fldCharType="separate"/>
      </w:r>
      <w:r>
        <w:rPr>
          <w:rFonts w:hint="eastAsia" w:ascii="宋体" w:hAnsi="宋体" w:cs="Courier New"/>
          <w:bCs/>
        </w:rPr>
        <w:t>二</w:t>
      </w:r>
      <w:r>
        <w:rPr>
          <w:rFonts w:ascii="宋体" w:hAnsi="宋体" w:cs="Courier New"/>
          <w:bCs/>
        </w:rPr>
        <w:t>、</w:t>
      </w:r>
      <w:r>
        <w:rPr>
          <w:rFonts w:hint="eastAsia" w:ascii="宋体" w:hAnsi="宋体" w:cs="Courier New"/>
          <w:bCs/>
        </w:rPr>
        <w:t>乙方提供的服务范围</w:t>
      </w:r>
      <w:r>
        <w:tab/>
      </w:r>
      <w:r>
        <w:fldChar w:fldCharType="begin"/>
      </w:r>
      <w:r>
        <w:instrText xml:space="preserve"> PAGEREF _Toc23176 </w:instrText>
      </w:r>
      <w:r>
        <w:fldChar w:fldCharType="separate"/>
      </w:r>
      <w:r>
        <w:t>12</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_Toc8586 </w:instrText>
      </w:r>
      <w:r>
        <w:rPr>
          <w:rFonts w:asciiTheme="minorEastAsia" w:hAnsiTheme="minorEastAsia" w:eastAsiaTheme="minorEastAsia" w:cstheme="minorEastAsia"/>
          <w:bCs/>
          <w:szCs w:val="20"/>
        </w:rPr>
        <w:fldChar w:fldCharType="separate"/>
      </w:r>
      <w:r>
        <w:rPr>
          <w:rFonts w:hAnsi="宋体"/>
          <w:kern w:val="44"/>
          <w:szCs w:val="36"/>
        </w:rPr>
        <w:t>第</w:t>
      </w:r>
      <w:r>
        <w:rPr>
          <w:rFonts w:hint="eastAsia" w:hAnsi="宋体"/>
          <w:kern w:val="44"/>
          <w:szCs w:val="36"/>
        </w:rPr>
        <w:t>四</w:t>
      </w:r>
      <w:r>
        <w:rPr>
          <w:rFonts w:hAnsi="宋体"/>
          <w:kern w:val="44"/>
          <w:szCs w:val="36"/>
        </w:rPr>
        <w:t>条 技术培训和技术支持</w:t>
      </w:r>
      <w:r>
        <w:tab/>
      </w:r>
      <w:r>
        <w:fldChar w:fldCharType="begin"/>
      </w:r>
      <w:r>
        <w:instrText xml:space="preserve"> PAGEREF _Toc8586 </w:instrText>
      </w:r>
      <w:r>
        <w:fldChar w:fldCharType="separate"/>
      </w:r>
      <w:r>
        <w:t>14</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_Toc18640 </w:instrText>
      </w:r>
      <w:r>
        <w:rPr>
          <w:rFonts w:asciiTheme="minorEastAsia" w:hAnsiTheme="minorEastAsia" w:eastAsiaTheme="minorEastAsia" w:cstheme="minorEastAsia"/>
          <w:bCs/>
          <w:szCs w:val="20"/>
        </w:rPr>
        <w:fldChar w:fldCharType="separate"/>
      </w:r>
      <w:r>
        <w:rPr>
          <w:rFonts w:hint="eastAsia" w:hAnsi="宋体" w:cs="Times New Roman"/>
          <w:bCs/>
          <w:kern w:val="2"/>
          <w:szCs w:val="20"/>
        </w:rPr>
        <w:t>一、培训计划</w:t>
      </w:r>
      <w:r>
        <w:tab/>
      </w:r>
      <w:r>
        <w:fldChar w:fldCharType="begin"/>
      </w:r>
      <w:r>
        <w:instrText xml:space="preserve"> PAGEREF _Toc18640 </w:instrText>
      </w:r>
      <w:r>
        <w:fldChar w:fldCharType="separate"/>
      </w:r>
      <w:r>
        <w:t>14</w:t>
      </w:r>
      <w:r>
        <w:fldChar w:fldCharType="end"/>
      </w:r>
      <w:r>
        <w:rPr>
          <w:rFonts w:asciiTheme="minorEastAsia" w:hAnsiTheme="minorEastAsia" w:eastAsiaTheme="minorEastAsia" w:cstheme="minorEastAsia"/>
          <w:bCs/>
          <w:szCs w:val="20"/>
        </w:rPr>
        <w:fldChar w:fldCharType="end"/>
      </w:r>
    </w:p>
    <w:p>
      <w:pPr>
        <w:pStyle w:val="6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_Toc268 </w:instrText>
      </w:r>
      <w:r>
        <w:rPr>
          <w:rFonts w:asciiTheme="minorEastAsia" w:hAnsiTheme="minorEastAsia" w:eastAsiaTheme="minorEastAsia" w:cstheme="minorEastAsia"/>
          <w:bCs/>
          <w:szCs w:val="20"/>
        </w:rPr>
        <w:fldChar w:fldCharType="separate"/>
      </w:r>
      <w:r>
        <w:rPr>
          <w:rFonts w:hint="eastAsia" w:hAnsi="宋体" w:cs="Times New Roman"/>
          <w:bCs/>
          <w:kern w:val="2"/>
          <w:szCs w:val="20"/>
        </w:rPr>
        <w:t>二、培训效果</w:t>
      </w:r>
      <w:r>
        <w:tab/>
      </w:r>
      <w:r>
        <w:fldChar w:fldCharType="begin"/>
      </w:r>
      <w:r>
        <w:instrText xml:space="preserve"> PAGEREF _Toc268 </w:instrText>
      </w:r>
      <w:r>
        <w:fldChar w:fldCharType="separate"/>
      </w:r>
      <w:r>
        <w:t>14</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_Toc9570 </w:instrText>
      </w:r>
      <w:r>
        <w:rPr>
          <w:rFonts w:asciiTheme="minorEastAsia" w:hAnsiTheme="minorEastAsia" w:eastAsiaTheme="minorEastAsia" w:cstheme="minorEastAsia"/>
          <w:bCs/>
          <w:szCs w:val="20"/>
        </w:rPr>
        <w:fldChar w:fldCharType="separate"/>
      </w:r>
      <w:r>
        <w:rPr>
          <w:rFonts w:hAnsi="宋体"/>
          <w:kern w:val="44"/>
          <w:szCs w:val="36"/>
        </w:rPr>
        <w:t>第</w:t>
      </w:r>
      <w:r>
        <w:rPr>
          <w:rFonts w:hint="eastAsia" w:hAnsi="宋体"/>
          <w:kern w:val="44"/>
          <w:szCs w:val="36"/>
        </w:rPr>
        <w:t>五</w:t>
      </w:r>
      <w:r>
        <w:rPr>
          <w:rFonts w:hAnsi="宋体"/>
          <w:kern w:val="44"/>
          <w:szCs w:val="36"/>
        </w:rPr>
        <w:t>条</w:t>
      </w:r>
      <w:r>
        <w:rPr>
          <w:rFonts w:hint="eastAsia" w:hAnsi="宋体"/>
          <w:kern w:val="44"/>
          <w:szCs w:val="36"/>
        </w:rPr>
        <w:t xml:space="preserve"> 售后</w:t>
      </w:r>
      <w:r>
        <w:rPr>
          <w:rFonts w:hAnsi="宋体"/>
          <w:kern w:val="44"/>
          <w:szCs w:val="36"/>
        </w:rPr>
        <w:t>服务响应的承诺</w:t>
      </w:r>
      <w:r>
        <w:tab/>
      </w:r>
      <w:r>
        <w:fldChar w:fldCharType="begin"/>
      </w:r>
      <w:r>
        <w:instrText xml:space="preserve"> PAGEREF _Toc9570 </w:instrText>
      </w:r>
      <w:r>
        <w:fldChar w:fldCharType="separate"/>
      </w:r>
      <w:r>
        <w:t>15</w:t>
      </w:r>
      <w:r>
        <w:fldChar w:fldCharType="end"/>
      </w:r>
      <w:r>
        <w:rPr>
          <w:rFonts w:asciiTheme="minorEastAsia" w:hAnsiTheme="minorEastAsia" w:eastAsiaTheme="minorEastAsia" w:cstheme="minorEastAsia"/>
          <w:bCs/>
          <w:szCs w:val="20"/>
        </w:rPr>
        <w:fldChar w:fldCharType="end"/>
      </w:r>
    </w:p>
    <w:p>
      <w:pPr>
        <w:pStyle w:val="50"/>
        <w:tabs>
          <w:tab w:val="right" w:leader="dot" w:pos="8489"/>
        </w:tabs>
      </w:pPr>
      <w:r>
        <w:rPr>
          <w:rFonts w:asciiTheme="minorEastAsia" w:hAnsiTheme="minorEastAsia" w:eastAsiaTheme="minorEastAsia" w:cstheme="minorEastAsia"/>
          <w:bCs/>
          <w:szCs w:val="20"/>
        </w:rPr>
        <w:fldChar w:fldCharType="begin"/>
      </w:r>
      <w:r>
        <w:rPr>
          <w:rFonts w:asciiTheme="minorEastAsia" w:hAnsiTheme="minorEastAsia" w:eastAsiaTheme="minorEastAsia" w:cstheme="minorEastAsia"/>
          <w:bCs/>
          <w:szCs w:val="20"/>
        </w:rPr>
        <w:instrText xml:space="preserve"> HYPERLINK \l _Toc2989 </w:instrText>
      </w:r>
      <w:r>
        <w:rPr>
          <w:rFonts w:asciiTheme="minorEastAsia" w:hAnsiTheme="minorEastAsia" w:eastAsiaTheme="minorEastAsia" w:cstheme="minorEastAsia"/>
          <w:bCs/>
          <w:szCs w:val="20"/>
        </w:rPr>
        <w:fldChar w:fldCharType="separate"/>
      </w:r>
      <w:r>
        <w:rPr>
          <w:rFonts w:hint="eastAsia" w:hAnsi="宋体" w:cs="宋体"/>
          <w:kern w:val="2"/>
        </w:rPr>
        <w:t>附件：设备清单</w:t>
      </w:r>
      <w:r>
        <w:tab/>
      </w:r>
      <w:r>
        <w:fldChar w:fldCharType="begin"/>
      </w:r>
      <w:r>
        <w:instrText xml:space="preserve"> PAGEREF _Toc2989 </w:instrText>
      </w:r>
      <w:r>
        <w:fldChar w:fldCharType="separate"/>
      </w:r>
      <w:r>
        <w:t>16</w:t>
      </w:r>
      <w:r>
        <w:fldChar w:fldCharType="end"/>
      </w:r>
      <w:r>
        <w:rPr>
          <w:rFonts w:asciiTheme="minorEastAsia" w:hAnsiTheme="minorEastAsia" w:eastAsiaTheme="minorEastAsia" w:cstheme="minorEastAsia"/>
          <w:bCs/>
          <w:szCs w:val="20"/>
        </w:rPr>
        <w:fldChar w:fldCharType="end"/>
      </w:r>
    </w:p>
    <w:p>
      <w:pPr>
        <w:pStyle w:val="50"/>
        <w:tabs>
          <w:tab w:val="right" w:leader="dot" w:pos="8477"/>
        </w:tabs>
        <w:spacing w:line="360" w:lineRule="auto"/>
        <w:rPr>
          <w:rFonts w:asciiTheme="minorEastAsia" w:hAnsiTheme="minorEastAsia" w:eastAsiaTheme="minorEastAsia" w:cstheme="minorEastAsia"/>
          <w:b/>
          <w:bCs/>
          <w:sz w:val="20"/>
          <w:szCs w:val="20"/>
        </w:rPr>
      </w:pPr>
      <w:r>
        <w:rPr>
          <w:rFonts w:asciiTheme="minorEastAsia" w:hAnsiTheme="minorEastAsia" w:eastAsiaTheme="minorEastAsia" w:cstheme="minorEastAsia"/>
          <w:bCs/>
          <w:szCs w:val="20"/>
        </w:rPr>
        <w:fldChar w:fldCharType="end"/>
      </w:r>
    </w:p>
    <w:p>
      <w:pPr>
        <w:widowControl/>
        <w:jc w:val="left"/>
        <w:sectPr>
          <w:footerReference r:id="rId3" w:type="default"/>
          <w:pgSz w:w="11906" w:h="16838"/>
          <w:pgMar w:top="1440" w:right="1797" w:bottom="1440" w:left="1620" w:header="851" w:footer="992" w:gutter="0"/>
          <w:cols w:space="720" w:num="1"/>
          <w:titlePg/>
          <w:docGrid w:type="linesAndChars" w:linePitch="312" w:charSpace="0"/>
        </w:sectPr>
      </w:pPr>
      <w:bookmarkStart w:id="4" w:name="_Toc489593137"/>
      <w:bookmarkStart w:id="5" w:name="_Toc489593169"/>
    </w:p>
    <w:p>
      <w:pPr>
        <w:pStyle w:val="164"/>
        <w:tabs>
          <w:tab w:val="center" w:pos="4244"/>
          <w:tab w:val="left" w:pos="6090"/>
        </w:tabs>
        <w:jc w:val="center"/>
        <w:rPr>
          <w:rFonts w:hAnsi="宋体"/>
          <w:kern w:val="44"/>
          <w:sz w:val="36"/>
          <w:szCs w:val="36"/>
        </w:rPr>
      </w:pPr>
      <w:bookmarkStart w:id="6" w:name="_Toc24585"/>
      <w:r>
        <w:rPr>
          <w:rFonts w:hint="eastAsia" w:hAnsi="宋体"/>
          <w:kern w:val="44"/>
          <w:sz w:val="36"/>
          <w:szCs w:val="36"/>
        </w:rPr>
        <w:t>总  则</w:t>
      </w:r>
      <w:bookmarkEnd w:id="0"/>
      <w:bookmarkEnd w:id="1"/>
      <w:bookmarkEnd w:id="2"/>
      <w:bookmarkEnd w:id="3"/>
      <w:bookmarkEnd w:id="4"/>
      <w:bookmarkEnd w:id="5"/>
      <w:bookmarkEnd w:id="6"/>
    </w:p>
    <w:p>
      <w:pPr>
        <w:spacing w:line="360" w:lineRule="auto"/>
        <w:ind w:firstLine="480" w:firstLineChars="200"/>
        <w:rPr>
          <w:rFonts w:hint="eastAsia" w:ascii="宋体" w:hAnsi="宋体"/>
          <w:bCs/>
          <w:sz w:val="24"/>
        </w:rPr>
      </w:pPr>
      <w:r>
        <w:rPr>
          <w:rFonts w:hint="eastAsia" w:ascii="宋体" w:hAnsi="宋体"/>
          <w:bCs/>
          <w:sz w:val="24"/>
        </w:rPr>
        <w:t>1、本协议适用于对冬瓜山铜矿尾矿远程输送与制备固化回填工程尾矿回填制备系统具体施工。</w:t>
      </w:r>
    </w:p>
    <w:p>
      <w:pPr>
        <w:spacing w:line="360" w:lineRule="auto"/>
        <w:ind w:firstLine="480"/>
        <w:rPr>
          <w:rFonts w:ascii="宋体" w:hAnsi="宋体"/>
          <w:bCs/>
          <w:sz w:val="24"/>
        </w:rPr>
      </w:pPr>
      <w:r>
        <w:rPr>
          <w:rFonts w:hint="eastAsia" w:ascii="宋体" w:hAnsi="宋体"/>
          <w:bCs/>
          <w:sz w:val="24"/>
        </w:rPr>
        <w:t>2、</w:t>
      </w:r>
      <w:r>
        <w:rPr>
          <w:rFonts w:hint="eastAsia" w:asciiTheme="majorEastAsia" w:hAnsiTheme="majorEastAsia" w:eastAsiaTheme="majorEastAsia" w:cstheme="majorEastAsia"/>
          <w:sz w:val="24"/>
        </w:rPr>
        <w:t>乙方负责实施，</w:t>
      </w:r>
      <w:r>
        <w:rPr>
          <w:rFonts w:hint="eastAsia" w:ascii="宋体" w:hAnsi="宋体"/>
          <w:bCs/>
          <w:sz w:val="24"/>
        </w:rPr>
        <w:t>乙方负责工程的设备材料采购、运输、</w:t>
      </w:r>
      <w:r>
        <w:rPr>
          <w:rFonts w:hint="eastAsia" w:ascii="宋体" w:hAnsi="宋体"/>
          <w:bCs/>
          <w:sz w:val="24"/>
          <w:lang w:eastAsia="zh-CN"/>
        </w:rPr>
        <w:t>指导</w:t>
      </w:r>
      <w:r>
        <w:rPr>
          <w:rFonts w:hint="eastAsia" w:ascii="宋体" w:hAnsi="宋体"/>
          <w:bCs/>
          <w:sz w:val="24"/>
        </w:rPr>
        <w:t>安装、调试及人员培训等，保证整个系统的安全可靠运行。</w:t>
      </w:r>
    </w:p>
    <w:p>
      <w:pPr>
        <w:spacing w:line="360" w:lineRule="auto"/>
        <w:ind w:firstLine="480"/>
        <w:rPr>
          <w:rFonts w:ascii="宋体" w:hAnsi="宋体"/>
          <w:bCs/>
          <w:sz w:val="24"/>
        </w:rPr>
      </w:pPr>
      <w:r>
        <w:rPr>
          <w:rFonts w:hint="eastAsia" w:ascii="宋体" w:hAnsi="宋体"/>
          <w:bCs/>
          <w:sz w:val="24"/>
        </w:rPr>
        <w:t>3、乙方必须严格按照甲方安全质量标准化的要求</w:t>
      </w:r>
      <w:r>
        <w:rPr>
          <w:rFonts w:hint="eastAsia" w:ascii="宋体" w:hAnsi="宋体"/>
          <w:bCs/>
          <w:sz w:val="24"/>
          <w:lang w:eastAsia="zh-CN"/>
        </w:rPr>
        <w:t>指导</w:t>
      </w:r>
      <w:r>
        <w:rPr>
          <w:rFonts w:hint="eastAsia" w:ascii="宋体" w:hAnsi="宋体"/>
          <w:bCs/>
          <w:sz w:val="24"/>
        </w:rPr>
        <w:t>施工。</w:t>
      </w:r>
    </w:p>
    <w:p>
      <w:pPr>
        <w:spacing w:line="360" w:lineRule="auto"/>
        <w:ind w:firstLine="480"/>
        <w:rPr>
          <w:rFonts w:ascii="宋体" w:hAnsi="宋体"/>
          <w:bCs/>
          <w:sz w:val="24"/>
        </w:rPr>
      </w:pPr>
      <w:r>
        <w:rPr>
          <w:rFonts w:hint="eastAsia" w:ascii="宋体" w:hAnsi="宋体"/>
          <w:bCs/>
          <w:sz w:val="24"/>
        </w:rPr>
        <w:t>4、乙方应保证提供符合国家标准、规范和本技术协议的优质产品及其相应的优质服务。乙方所提供的系统及设备技术参数应满足或优于此技术协议的参数。对国家有关安全、环境保护等强制性标准，必须满足其要求。</w:t>
      </w:r>
    </w:p>
    <w:p>
      <w:pPr>
        <w:spacing w:line="360" w:lineRule="auto"/>
        <w:ind w:firstLine="480"/>
        <w:rPr>
          <w:rFonts w:ascii="宋体" w:hAnsi="宋体"/>
          <w:bCs/>
          <w:sz w:val="24"/>
        </w:rPr>
      </w:pPr>
      <w:r>
        <w:rPr>
          <w:rFonts w:hint="eastAsia" w:ascii="宋体" w:hAnsi="宋体"/>
          <w:bCs/>
          <w:sz w:val="24"/>
        </w:rPr>
        <w:t>5、在签订合同之后，甲方保留对本技术协议提出补充要求和修改的权利，在不涉及商务价格变动的前提下，乙方应允诺予以配合。如甲方提出修改，具体项目和条件由甲乙双方商定。</w:t>
      </w:r>
    </w:p>
    <w:p>
      <w:pPr>
        <w:spacing w:line="360" w:lineRule="auto"/>
        <w:ind w:firstLine="480"/>
        <w:rPr>
          <w:rFonts w:ascii="宋体" w:hAnsi="宋体"/>
          <w:bCs/>
          <w:sz w:val="24"/>
        </w:rPr>
      </w:pPr>
      <w:r>
        <w:rPr>
          <w:rFonts w:hint="eastAsia" w:ascii="宋体" w:hAnsi="宋体"/>
          <w:bCs/>
          <w:sz w:val="24"/>
        </w:rPr>
        <w:t>6、本协议所使用的标准如遇与乙方所执行的标准发生矛盾时，按较高标准执行。</w:t>
      </w:r>
    </w:p>
    <w:p>
      <w:pPr>
        <w:spacing w:line="360" w:lineRule="auto"/>
        <w:ind w:firstLine="480"/>
        <w:rPr>
          <w:rFonts w:ascii="宋体" w:hAnsi="宋体"/>
          <w:bCs/>
          <w:sz w:val="24"/>
        </w:rPr>
      </w:pPr>
      <w:r>
        <w:rPr>
          <w:rFonts w:hint="eastAsia" w:ascii="宋体" w:hAnsi="宋体"/>
          <w:bCs/>
          <w:sz w:val="24"/>
        </w:rPr>
        <w:t>7、本协议经甲乙双方共同确认和签字后作为订货合同的附件，与订货合同正文具有同等效力。</w:t>
      </w:r>
    </w:p>
    <w:p>
      <w:pPr>
        <w:spacing w:line="360" w:lineRule="auto"/>
        <w:ind w:firstLine="480"/>
        <w:rPr>
          <w:rFonts w:ascii="宋体" w:hAnsi="宋体"/>
          <w:bCs/>
          <w:sz w:val="24"/>
        </w:rPr>
      </w:pPr>
      <w:r>
        <w:rPr>
          <w:rFonts w:hint="eastAsia" w:ascii="宋体" w:hAnsi="宋体"/>
          <w:bCs/>
          <w:sz w:val="24"/>
        </w:rPr>
        <w:t>8、乙方在</w:t>
      </w:r>
      <w:r>
        <w:rPr>
          <w:rFonts w:hint="eastAsia" w:ascii="宋体" w:hAnsi="宋体"/>
          <w:kern w:val="0"/>
          <w:sz w:val="24"/>
          <w:lang w:val="zh-CN"/>
        </w:rPr>
        <w:t>施工中要对所有接线端子进行标记编号，缆线始末也要进行标记并设置走向标志牌，标记等应详细记录在竣工图纸中。</w:t>
      </w:r>
    </w:p>
    <w:p>
      <w:pPr>
        <w:spacing w:line="360" w:lineRule="auto"/>
        <w:ind w:firstLine="480"/>
        <w:rPr>
          <w:rFonts w:ascii="宋体" w:hAnsi="宋体"/>
          <w:bCs/>
          <w:sz w:val="24"/>
        </w:rPr>
      </w:pPr>
      <w:r>
        <w:rPr>
          <w:rFonts w:hint="eastAsia" w:ascii="宋体" w:hAnsi="宋体"/>
          <w:bCs/>
          <w:sz w:val="24"/>
        </w:rPr>
        <w:t>9、本协议设备主体清单附后，指定型号的为不能更改的设备</w:t>
      </w:r>
      <w:bookmarkStart w:id="7" w:name="_Toc320400459"/>
      <w:bookmarkStart w:id="8" w:name="_Toc331926308"/>
      <w:r>
        <w:rPr>
          <w:rFonts w:hint="eastAsia" w:ascii="宋体" w:hAnsi="宋体"/>
          <w:bCs/>
          <w:sz w:val="24"/>
        </w:rPr>
        <w:t>。</w:t>
      </w:r>
      <w:bookmarkStart w:id="9" w:name="_Toc361407871"/>
      <w:bookmarkStart w:id="10" w:name="_Toc393482789"/>
      <w:bookmarkStart w:id="11" w:name="_Toc393483248"/>
      <w:bookmarkStart w:id="12" w:name="_Toc393482927"/>
    </w:p>
    <w:p>
      <w:pPr>
        <w:spacing w:line="360" w:lineRule="auto"/>
        <w:ind w:firstLine="480"/>
        <w:rPr>
          <w:rFonts w:ascii="宋体" w:hAnsi="宋体"/>
          <w:bCs/>
          <w:sz w:val="24"/>
        </w:rPr>
      </w:pPr>
    </w:p>
    <w:p>
      <w:pPr>
        <w:spacing w:line="360" w:lineRule="auto"/>
        <w:ind w:firstLine="480"/>
        <w:rPr>
          <w:rFonts w:ascii="宋体" w:hAnsi="宋体"/>
          <w:bCs/>
          <w:sz w:val="24"/>
        </w:rPr>
      </w:pPr>
    </w:p>
    <w:p>
      <w:pPr>
        <w:spacing w:line="360" w:lineRule="auto"/>
        <w:ind w:firstLine="480"/>
        <w:rPr>
          <w:rFonts w:ascii="宋体" w:hAnsi="宋体"/>
          <w:bCs/>
          <w:sz w:val="24"/>
        </w:rPr>
      </w:pPr>
    </w:p>
    <w:p>
      <w:pPr>
        <w:spacing w:line="360" w:lineRule="auto"/>
        <w:ind w:firstLine="480"/>
        <w:rPr>
          <w:rFonts w:ascii="宋体" w:hAnsi="宋体"/>
          <w:bCs/>
          <w:sz w:val="24"/>
        </w:rPr>
      </w:pPr>
    </w:p>
    <w:p>
      <w:pPr>
        <w:spacing w:line="360" w:lineRule="auto"/>
        <w:ind w:firstLine="480"/>
        <w:rPr>
          <w:rFonts w:ascii="宋体" w:hAnsi="宋体"/>
          <w:bCs/>
          <w:sz w:val="24"/>
        </w:rPr>
      </w:pPr>
    </w:p>
    <w:p>
      <w:pPr>
        <w:spacing w:line="360" w:lineRule="auto"/>
        <w:ind w:firstLine="480"/>
        <w:rPr>
          <w:rFonts w:ascii="宋体" w:hAnsi="宋体"/>
          <w:bCs/>
          <w:sz w:val="24"/>
        </w:rPr>
      </w:pPr>
    </w:p>
    <w:p>
      <w:pPr>
        <w:spacing w:line="360" w:lineRule="auto"/>
        <w:ind w:firstLine="480"/>
        <w:rPr>
          <w:rFonts w:ascii="宋体" w:hAnsi="宋体"/>
          <w:bCs/>
          <w:sz w:val="24"/>
        </w:rPr>
      </w:pPr>
    </w:p>
    <w:p>
      <w:pPr>
        <w:pStyle w:val="164"/>
        <w:rPr>
          <w:rFonts w:hAnsi="宋体"/>
          <w:kern w:val="44"/>
          <w:sz w:val="36"/>
          <w:szCs w:val="36"/>
        </w:rPr>
      </w:pPr>
      <w:bookmarkStart w:id="13" w:name="_Toc489593170"/>
      <w:bookmarkStart w:id="14" w:name="_Toc511"/>
      <w:bookmarkStart w:id="15" w:name="_Toc3370"/>
      <w:bookmarkStart w:id="16" w:name="_Toc456080775"/>
      <w:bookmarkStart w:id="17" w:name="_Toc489593138"/>
      <w:bookmarkStart w:id="18" w:name="_Toc14058"/>
      <w:bookmarkStart w:id="19" w:name="_Toc4718"/>
      <w:r>
        <w:rPr>
          <w:rFonts w:hint="eastAsia" w:hAnsi="宋体"/>
          <w:kern w:val="44"/>
          <w:sz w:val="36"/>
          <w:szCs w:val="36"/>
        </w:rPr>
        <w:t>第一条 系统建设执行规范</w:t>
      </w:r>
      <w:bookmarkEnd w:id="7"/>
      <w:bookmarkEnd w:id="8"/>
      <w:bookmarkEnd w:id="9"/>
      <w:bookmarkEnd w:id="10"/>
      <w:bookmarkEnd w:id="11"/>
      <w:bookmarkEnd w:id="12"/>
      <w:bookmarkEnd w:id="13"/>
      <w:bookmarkEnd w:id="14"/>
      <w:bookmarkEnd w:id="15"/>
      <w:bookmarkEnd w:id="16"/>
      <w:bookmarkEnd w:id="17"/>
      <w:bookmarkEnd w:id="18"/>
      <w:bookmarkEnd w:id="19"/>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ANSI/NFPA    70        </w:t>
      </w:r>
      <w:r>
        <w:rPr>
          <w:rFonts w:hint="eastAsia" w:ascii="宋体" w:hAnsi="宋体"/>
          <w:lang w:val="zh-CN"/>
        </w:rPr>
        <w:tab/>
      </w:r>
      <w:r>
        <w:rPr>
          <w:rFonts w:hint="eastAsia" w:ascii="宋体" w:hAnsi="宋体"/>
          <w:lang w:val="zh-CN"/>
        </w:rPr>
        <w:t>国家电气规范</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ANSI/NFPA    496       </w:t>
      </w:r>
      <w:r>
        <w:rPr>
          <w:rFonts w:hint="eastAsia" w:ascii="宋体" w:hAnsi="宋体"/>
          <w:lang w:val="zh-CN"/>
        </w:rPr>
        <w:tab/>
      </w:r>
      <w:r>
        <w:rPr>
          <w:rFonts w:hint="eastAsia" w:ascii="宋体" w:hAnsi="宋体"/>
          <w:lang w:val="zh-CN"/>
        </w:rPr>
        <w:t>电气设备外壳的净化和密封美国电气和电子工程师协会（IEEE）</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ANSI/IEEE    472    </w:t>
      </w:r>
      <w:r>
        <w:rPr>
          <w:rFonts w:hint="eastAsia" w:ascii="宋体" w:hAnsi="宋体"/>
          <w:lang w:val="zh-CN"/>
        </w:rPr>
        <w:tab/>
      </w:r>
      <w:r>
        <w:rPr>
          <w:rFonts w:hint="eastAsia" w:ascii="宋体" w:hAnsi="宋体"/>
          <w:lang w:val="zh-CN"/>
        </w:rPr>
        <w:t>冲击电压承受能力导则（SWC）</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ANSI/IEEE    488.1   </w:t>
      </w:r>
      <w:r>
        <w:rPr>
          <w:rFonts w:hint="eastAsia" w:ascii="宋体" w:hAnsi="宋体"/>
          <w:lang w:val="zh-CN"/>
        </w:rPr>
        <w:tab/>
      </w:r>
      <w:r>
        <w:rPr>
          <w:rFonts w:hint="eastAsia" w:ascii="宋体" w:hAnsi="宋体"/>
          <w:lang w:val="zh-CN"/>
        </w:rPr>
        <w:t>可编程仪表的数字接口</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ANSI/IEEE    1046－    </w:t>
      </w:r>
      <w:r>
        <w:rPr>
          <w:rFonts w:hint="eastAsia" w:ascii="宋体" w:hAnsi="宋体"/>
          <w:lang w:val="zh-CN"/>
        </w:rPr>
        <w:tab/>
      </w:r>
      <w:r>
        <w:rPr>
          <w:rFonts w:hint="eastAsia" w:ascii="宋体" w:hAnsi="宋体"/>
          <w:lang w:val="zh-CN"/>
        </w:rPr>
        <w:t>电场分布式数字控制和监视导则</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 ANSI/IEEE    RP12.6  </w:t>
      </w:r>
      <w:r>
        <w:rPr>
          <w:rFonts w:hint="eastAsia" w:ascii="宋体" w:hAnsi="宋体"/>
          <w:lang w:val="zh-CN"/>
        </w:rPr>
        <w:tab/>
      </w:r>
      <w:r>
        <w:rPr>
          <w:rFonts w:hint="eastAsia" w:ascii="宋体" w:hAnsi="宋体"/>
          <w:lang w:val="zh-CN"/>
        </w:rPr>
        <w:t>危险区域（分等级）本安系统的安装</w:t>
      </w:r>
    </w:p>
    <w:p>
      <w:pPr>
        <w:spacing w:before="156" w:beforeLines="50" w:after="156" w:afterLines="50"/>
        <w:rPr>
          <w:rFonts w:ascii="宋体" w:hAnsi="宋体"/>
          <w:lang w:val="zh-CN"/>
        </w:rPr>
      </w:pPr>
      <w:r>
        <w:rPr>
          <w:rFonts w:hint="eastAsia" w:ascii="宋体" w:hAnsi="宋体"/>
          <w:lang w:val="zh-CN"/>
        </w:rPr>
        <w:t>美国电子工业协会（EIA）</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EIA  RS-232-C    数据终端设备与使用串行二进制数据进行数据交换的数据通讯设备之间的接口</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EIA  RS-485 　　  数据终端设备与使用串行二进制数据进行数据交换的数据通讯设备之间的接口</w:t>
      </w:r>
    </w:p>
    <w:p>
      <w:pPr>
        <w:spacing w:before="156" w:beforeLines="50" w:after="156" w:afterLines="50"/>
        <w:rPr>
          <w:rFonts w:ascii="宋体" w:hAnsi="宋体"/>
          <w:lang w:val="zh-CN"/>
        </w:rPr>
      </w:pPr>
      <w:r>
        <w:rPr>
          <w:rFonts w:hint="eastAsia" w:ascii="宋体" w:hAnsi="宋体"/>
          <w:lang w:val="zh-CN"/>
        </w:rPr>
        <w:t>美国仪器学会（ISA）</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ISA  ITS  90</w:t>
      </w:r>
      <w:r>
        <w:rPr>
          <w:rFonts w:hint="eastAsia" w:ascii="宋体" w:hAnsi="宋体"/>
          <w:lang w:val="zh-CN"/>
        </w:rPr>
        <w:tab/>
      </w:r>
      <w:r>
        <w:rPr>
          <w:rFonts w:hint="eastAsia" w:ascii="宋体" w:hAnsi="宋体"/>
          <w:lang w:val="zh-CN"/>
        </w:rPr>
        <w:t xml:space="preserve">     热电偶换算表</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 xml:space="preserve">ISA  RP55.1  </w:t>
      </w:r>
      <w:r>
        <w:rPr>
          <w:rFonts w:hint="eastAsia" w:ascii="宋体" w:hAnsi="宋体"/>
          <w:lang w:val="zh-CN"/>
        </w:rPr>
        <w:tab/>
      </w:r>
      <w:r>
        <w:rPr>
          <w:rFonts w:hint="eastAsia" w:ascii="宋体" w:hAnsi="宋体"/>
          <w:lang w:val="zh-CN"/>
        </w:rPr>
        <w:tab/>
      </w:r>
      <w:r>
        <w:rPr>
          <w:rFonts w:hint="eastAsia" w:ascii="宋体" w:hAnsi="宋体"/>
          <w:lang w:val="zh-CN"/>
        </w:rPr>
        <w:t xml:space="preserve"> 数字处理计算机硬件测试</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ANSI/ISA   S12.12      非易燃电气设备，用于等级I/II、区域2和等级III、区域1／2的危险（分等级）场所</w:t>
      </w:r>
    </w:p>
    <w:p>
      <w:pPr>
        <w:spacing w:before="156" w:beforeLines="50" w:after="156" w:afterLines="50"/>
        <w:rPr>
          <w:rFonts w:ascii="宋体" w:hAnsi="宋体"/>
        </w:rPr>
      </w:pPr>
      <w:r>
        <w:rPr>
          <w:rFonts w:hint="eastAsia" w:ascii="宋体" w:hAnsi="宋体"/>
        </w:rPr>
        <w:t xml:space="preserve">    ANSI/ISA   S50.1       </w:t>
      </w:r>
      <w:r>
        <w:rPr>
          <w:rFonts w:hint="eastAsia" w:ascii="宋体" w:hAnsi="宋体"/>
          <w:lang w:val="zh-CN"/>
        </w:rPr>
        <w:t>工业过程电子仪表模拟量信号的兼容性</w:t>
      </w:r>
    </w:p>
    <w:p>
      <w:pPr>
        <w:spacing w:before="156" w:beforeLines="50" w:after="156" w:afterLines="50"/>
        <w:rPr>
          <w:rFonts w:ascii="宋体" w:hAnsi="宋体"/>
        </w:rPr>
      </w:pPr>
      <w:r>
        <w:rPr>
          <w:rFonts w:hint="eastAsia" w:ascii="宋体" w:hAnsi="宋体"/>
        </w:rPr>
        <w:t xml:space="preserve">    ANSI/ISA   S71.04      </w:t>
      </w:r>
      <w:r>
        <w:rPr>
          <w:rFonts w:hint="eastAsia" w:ascii="宋体" w:hAnsi="宋体"/>
          <w:lang w:val="zh-CN"/>
        </w:rPr>
        <w:t>过程测量和控制系统的环境条件</w:t>
      </w:r>
      <w:r>
        <w:rPr>
          <w:rFonts w:hint="eastAsia" w:ascii="宋体" w:hAnsi="宋体"/>
        </w:rPr>
        <w:t>：</w:t>
      </w:r>
      <w:r>
        <w:rPr>
          <w:rFonts w:hint="eastAsia" w:ascii="宋体" w:hAnsi="宋体"/>
          <w:lang w:val="zh-CN"/>
        </w:rPr>
        <w:t>空气中的污染物</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ANSI/ISA   S82.01      电气和电子设备、测量和控制机相关设备的一般要求</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ISA RP60.3             控制中心的人机工程学</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ISA S5.3          分散控制／共享显示仪表的图例符号。逻辑和计算机系统</w:t>
      </w:r>
    </w:p>
    <w:p>
      <w:pPr>
        <w:spacing w:before="156" w:beforeLines="50" w:after="156" w:afterLines="50"/>
        <w:rPr>
          <w:rFonts w:ascii="宋体" w:hAnsi="宋体"/>
          <w:lang w:val="zh-CN"/>
        </w:rPr>
      </w:pPr>
      <w:r>
        <w:rPr>
          <w:rFonts w:hint="eastAsia" w:ascii="宋体" w:hAnsi="宋体"/>
          <w:lang w:val="zh-CN"/>
        </w:rPr>
        <w:t>美国科学仪器制造商协会（SAMA）</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SAMA PMC  22.1</w:t>
      </w:r>
      <w:r>
        <w:rPr>
          <w:rFonts w:hint="eastAsia" w:ascii="宋体" w:hAnsi="宋体"/>
          <w:lang w:val="zh-CN"/>
        </w:rPr>
        <w:tab/>
      </w:r>
      <w:r>
        <w:rPr>
          <w:rFonts w:hint="eastAsia" w:ascii="宋体" w:hAnsi="宋体"/>
        </w:rPr>
        <w:t xml:space="preserve"> </w:t>
      </w:r>
      <w:r>
        <w:rPr>
          <w:rFonts w:hint="eastAsia" w:ascii="宋体" w:hAnsi="宋体"/>
          <w:lang w:val="zh-CN"/>
        </w:rPr>
        <w:t>仪表和控制系统功能图表示法</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 xml:space="preserve"> SAMA  PMC  31.1   过程测量和控制仪表试验和评估的一般方法</w:t>
      </w:r>
    </w:p>
    <w:p>
      <w:pPr>
        <w:spacing w:before="156" w:beforeLines="50" w:after="156" w:afterLines="50"/>
        <w:rPr>
          <w:rFonts w:ascii="宋体" w:hAnsi="宋体"/>
          <w:lang w:val="zh-CN"/>
        </w:rPr>
      </w:pPr>
      <w:r>
        <w:rPr>
          <w:rFonts w:hint="eastAsia" w:ascii="宋体" w:hAnsi="宋体"/>
          <w:lang w:val="zh-CN"/>
        </w:rPr>
        <w:t xml:space="preserve">  </w:t>
      </w:r>
      <w:r>
        <w:rPr>
          <w:rFonts w:hint="eastAsia" w:ascii="宋体" w:hAnsi="宋体"/>
        </w:rPr>
        <w:t xml:space="preserve">  </w:t>
      </w:r>
      <w:r>
        <w:rPr>
          <w:rFonts w:hint="eastAsia" w:ascii="宋体" w:hAnsi="宋体"/>
          <w:lang w:val="zh-CN"/>
        </w:rPr>
        <w:t>SAMA  PMC  33.1   过程控制仪表的电磁感应特性美国电气制造商协会（NEMA）</w:t>
      </w:r>
    </w:p>
    <w:p>
      <w:pPr>
        <w:spacing w:before="156" w:beforeLines="50" w:after="156" w:afterLines="50"/>
        <w:rPr>
          <w:rFonts w:ascii="宋体" w:hAnsi="宋体"/>
        </w:rPr>
      </w:pPr>
      <w:r>
        <w:rPr>
          <w:rFonts w:hint="eastAsia" w:ascii="宋体" w:hAnsi="宋体"/>
        </w:rPr>
        <w:t xml:space="preserve">    ANSI/NEMA  ICS4</w:t>
      </w:r>
      <w:r>
        <w:rPr>
          <w:rFonts w:hint="eastAsia" w:ascii="宋体" w:hAnsi="宋体"/>
        </w:rPr>
        <w:tab/>
      </w:r>
      <w:r>
        <w:rPr>
          <w:rFonts w:hint="eastAsia" w:ascii="宋体" w:hAnsi="宋体"/>
        </w:rPr>
        <w:t xml:space="preserve"> </w:t>
      </w:r>
      <w:r>
        <w:rPr>
          <w:rFonts w:hint="eastAsia" w:ascii="宋体" w:hAnsi="宋体"/>
          <w:lang w:val="zh-CN"/>
        </w:rPr>
        <w:t>工业控制设备和系统的端子排</w:t>
      </w:r>
    </w:p>
    <w:p>
      <w:pPr>
        <w:spacing w:before="156" w:beforeLines="50" w:after="156" w:afterLines="50"/>
        <w:rPr>
          <w:rFonts w:ascii="宋体" w:hAnsi="宋体"/>
        </w:rPr>
      </w:pPr>
      <w:r>
        <w:rPr>
          <w:rFonts w:hint="eastAsia" w:ascii="宋体" w:hAnsi="宋体"/>
        </w:rPr>
        <w:t xml:space="preserve">    ANSI/NEMA  ICS6</w:t>
      </w:r>
      <w:r>
        <w:rPr>
          <w:rFonts w:hint="eastAsia" w:ascii="宋体" w:hAnsi="宋体"/>
        </w:rPr>
        <w:tab/>
      </w:r>
      <w:r>
        <w:rPr>
          <w:rFonts w:hint="eastAsia" w:ascii="宋体" w:hAnsi="宋体"/>
        </w:rPr>
        <w:t xml:space="preserve"> </w:t>
      </w:r>
      <w:r>
        <w:rPr>
          <w:rFonts w:hint="eastAsia" w:ascii="宋体" w:hAnsi="宋体"/>
          <w:lang w:val="zh-CN"/>
        </w:rPr>
        <w:t>工业控制设备和系统外壳</w:t>
      </w:r>
    </w:p>
    <w:p>
      <w:pPr>
        <w:spacing w:before="156" w:beforeLines="50" w:after="156" w:afterLines="50"/>
        <w:rPr>
          <w:rFonts w:ascii="宋体" w:hAnsi="宋体"/>
        </w:rPr>
      </w:pPr>
      <w:r>
        <w:rPr>
          <w:rFonts w:hint="eastAsia" w:ascii="宋体" w:hAnsi="宋体"/>
        </w:rPr>
        <w:t xml:space="preserve">    ANSI/NEMA  ICS2   </w:t>
      </w:r>
      <w:r>
        <w:rPr>
          <w:rFonts w:hint="eastAsia" w:ascii="宋体" w:hAnsi="宋体"/>
          <w:lang w:val="zh-CN"/>
        </w:rPr>
        <w:t>工业控制装置、控制器及组件的标准美国保险商实验室</w:t>
      </w:r>
      <w:r>
        <w:rPr>
          <w:rFonts w:hint="eastAsia" w:ascii="宋体" w:hAnsi="宋体"/>
        </w:rPr>
        <w:t>（UL）</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UL 1418        电视用阴极射线管的防内爆</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UL 44        橡胶导线、电缆的安全标准</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UL 508       工业控制设备</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UL 913       用于等级I/II/III、区域1的危险场所的本安设备及其相关设备</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UL 1950      信息技术设备，包括电子商务设备国际电工委员会（IEC）</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60068－1    环境试验：总论和导则（88）</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60073       用颜色指示设备的规则（96）</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60079       用于易爆场所的电气设备</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60331       电缆阻燃特性（70）</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60332       燃烧情况下的电缆试验（93）</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60348       电气测量设备的安全要求（78）</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60529       外壳防护等级（IP码）（EQV）</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60801－1    工业过程测量和控制装置的电磁兼容性第1部分：总论（EQV）</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60801－2    工业过程测量和控制装置的电磁兼容性第2部分：静电放电要求（EQV）</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60801－3    工业过程测量和控制装置的电磁兼容性第3部分：辐射电磁场要求（EQV）</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60801－4    工业过程测量和控制装置的电磁兼容性第3部分：电快速瞬变脉冲群要求（EQV）</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60801－5          工业过程测量和控制装置的电磁兼容性：抗冲击要求</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60848             控制系统功能图（88）</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60950             信息技术设备的安全要求（91）</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          工业过程测量和控制设备的电磁兼容性：试验方法</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61000－4－1       通用要求</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61000－4－2       抗静电放电试验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61000－4－3       抗电磁辐射试验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61000－4－4       抗瞬变试验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61000－4－5       抗浪涌试验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61000－4－6       抗传导试验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61000－4－8       抗磁场试验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61000－4－7       抗电压跌落试验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61000－4－13      抗工频谐波试验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61000－4－14      抗电压闪变试验</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6731             可编程控制器编程语言</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IEC 61508            电气／电子／可编程电子设备安全相关系统的功能安全</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FM 工厂互证</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FM Class No.3610     用于等级I/II/III、区域1的危险场所（分等级）的本安设备及相关设备</w:t>
      </w:r>
    </w:p>
    <w:p>
      <w:pPr>
        <w:spacing w:before="156" w:beforeLines="50" w:after="156" w:afterLines="50"/>
        <w:rPr>
          <w:rFonts w:ascii="宋体" w:hAnsi="宋体"/>
        </w:rPr>
      </w:pPr>
      <w:r>
        <w:rPr>
          <w:rFonts w:hint="eastAsia" w:ascii="宋体" w:hAnsi="宋体"/>
        </w:rPr>
        <w:t xml:space="preserve">    FM Class No.367      </w:t>
      </w:r>
      <w:r>
        <w:rPr>
          <w:rFonts w:hint="eastAsia" w:ascii="宋体" w:hAnsi="宋体"/>
          <w:lang w:val="zh-CN"/>
        </w:rPr>
        <w:t>用于等级</w:t>
      </w:r>
      <w:r>
        <w:rPr>
          <w:rFonts w:hint="eastAsia" w:ascii="宋体" w:hAnsi="宋体"/>
        </w:rPr>
        <w:t>I/II</w:t>
      </w:r>
      <w:r>
        <w:rPr>
          <w:rFonts w:hint="eastAsia" w:ascii="宋体" w:hAnsi="宋体"/>
          <w:lang w:val="zh-CN"/>
        </w:rPr>
        <w:t>、区域</w:t>
      </w:r>
      <w:r>
        <w:rPr>
          <w:rFonts w:hint="eastAsia" w:ascii="宋体" w:hAnsi="宋体"/>
        </w:rPr>
        <w:t>2</w:t>
      </w:r>
      <w:r>
        <w:rPr>
          <w:rFonts w:hint="eastAsia" w:ascii="宋体" w:hAnsi="宋体"/>
          <w:lang w:val="zh-CN"/>
        </w:rPr>
        <w:t>和等级</w:t>
      </w:r>
      <w:r>
        <w:rPr>
          <w:rFonts w:hint="eastAsia" w:ascii="宋体" w:hAnsi="宋体"/>
        </w:rPr>
        <w:t>III</w:t>
      </w:r>
      <w:r>
        <w:rPr>
          <w:rFonts w:hint="eastAsia" w:ascii="宋体" w:hAnsi="宋体"/>
          <w:lang w:val="zh-CN"/>
        </w:rPr>
        <w:t>、区域</w:t>
      </w:r>
      <w:r>
        <w:rPr>
          <w:rFonts w:hint="eastAsia" w:ascii="宋体" w:hAnsi="宋体"/>
        </w:rPr>
        <w:t>1／2</w:t>
      </w:r>
      <w:r>
        <w:rPr>
          <w:rFonts w:hint="eastAsia" w:ascii="宋体" w:hAnsi="宋体"/>
          <w:lang w:val="zh-CN"/>
        </w:rPr>
        <w:t>的危险场所的电气设备</w:t>
      </w:r>
    </w:p>
    <w:p>
      <w:pPr>
        <w:spacing w:before="156" w:beforeLines="50" w:after="156" w:afterLines="50"/>
        <w:rPr>
          <w:rFonts w:ascii="宋体" w:hAnsi="宋体"/>
        </w:rPr>
      </w:pPr>
      <w:r>
        <w:rPr>
          <w:rFonts w:hint="eastAsia" w:ascii="宋体" w:hAnsi="宋体"/>
        </w:rPr>
        <w:t xml:space="preserve">    FM Class No.3615     </w:t>
      </w:r>
      <w:r>
        <w:rPr>
          <w:rFonts w:hint="eastAsia" w:ascii="宋体" w:hAnsi="宋体"/>
          <w:lang w:val="zh-CN"/>
        </w:rPr>
        <w:t>防爆型电气设备的一般要求</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FM Class No.3820     电气设备</w:t>
      </w:r>
    </w:p>
    <w:p>
      <w:pPr>
        <w:spacing w:before="156" w:beforeLines="50" w:after="156" w:afterLines="50"/>
        <w:rPr>
          <w:rFonts w:ascii="宋体" w:hAnsi="宋体"/>
          <w:lang w:val="zh-CN"/>
        </w:rPr>
      </w:pPr>
      <w:r>
        <w:rPr>
          <w:rFonts w:hint="eastAsia" w:ascii="宋体" w:hAnsi="宋体"/>
          <w:lang w:val="zh-CN"/>
        </w:rPr>
        <w:t>卖方提供的PLC还应满足下列规程：</w:t>
      </w:r>
    </w:p>
    <w:p>
      <w:pPr>
        <w:spacing w:before="156" w:beforeLines="50" w:after="156" w:afterLines="50"/>
        <w:rPr>
          <w:rFonts w:ascii="宋体" w:hAnsi="宋体"/>
          <w:lang w:val="zh-CN"/>
        </w:rPr>
      </w:pPr>
      <w:r>
        <w:rPr>
          <w:rFonts w:hint="eastAsia" w:ascii="宋体" w:hAnsi="宋体"/>
        </w:rPr>
        <w:t xml:space="preserve">    </w:t>
      </w:r>
      <w:r>
        <w:rPr>
          <w:rFonts w:hint="eastAsia" w:ascii="宋体" w:hAnsi="宋体"/>
          <w:lang w:val="zh-CN"/>
        </w:rPr>
        <w:t>TCP/IP</w:t>
      </w:r>
      <w:r>
        <w:rPr>
          <w:rFonts w:hint="eastAsia" w:ascii="宋体" w:hAnsi="宋体"/>
          <w:lang w:val="zh-CN"/>
        </w:rPr>
        <w:tab/>
      </w:r>
      <w:r>
        <w:rPr>
          <w:rFonts w:hint="eastAsia" w:ascii="宋体" w:hAnsi="宋体"/>
          <w:lang w:val="zh-CN"/>
        </w:rPr>
        <w:tab/>
      </w:r>
      <w:r>
        <w:rPr>
          <w:rFonts w:hint="eastAsia" w:ascii="宋体" w:hAnsi="宋体"/>
          <w:lang w:val="zh-CN"/>
        </w:rPr>
        <w:tab/>
      </w:r>
      <w:r>
        <w:rPr>
          <w:rFonts w:hint="eastAsia" w:ascii="宋体" w:hAnsi="宋体"/>
          <w:lang w:val="zh-CN"/>
        </w:rPr>
        <w:tab/>
      </w:r>
      <w:r>
        <w:rPr>
          <w:rFonts w:hint="eastAsia" w:ascii="宋体" w:hAnsi="宋体"/>
        </w:rPr>
        <w:t xml:space="preserve">            </w:t>
      </w:r>
      <w:r>
        <w:rPr>
          <w:rFonts w:hint="eastAsia" w:ascii="宋体" w:hAnsi="宋体"/>
          <w:lang w:val="zh-CN"/>
        </w:rPr>
        <w:t>网络通讯协议</w:t>
      </w:r>
    </w:p>
    <w:p>
      <w:pPr>
        <w:spacing w:before="156" w:beforeLines="50" w:after="156" w:afterLines="50"/>
        <w:rPr>
          <w:rFonts w:ascii="宋体" w:hAnsi="宋体" w:cs="宋体"/>
          <w:b/>
          <w:bCs/>
        </w:rPr>
      </w:pPr>
      <w:r>
        <w:rPr>
          <w:rFonts w:hint="eastAsia" w:ascii="宋体" w:hAnsi="宋体"/>
        </w:rPr>
        <w:t xml:space="preserve">    </w:t>
      </w:r>
      <w:r>
        <w:rPr>
          <w:rFonts w:hint="eastAsia" w:ascii="宋体" w:hAnsi="宋体"/>
          <w:lang w:val="zh-CN"/>
        </w:rPr>
        <w:t>GB 4208－84≈IEC  529－76 　 外壳防护等级分类</w:t>
      </w:r>
    </w:p>
    <w:p>
      <w:pPr>
        <w:pStyle w:val="37"/>
        <w:tabs>
          <w:tab w:val="left" w:pos="2880"/>
        </w:tabs>
        <w:spacing w:line="540" w:lineRule="exact"/>
        <w:rPr>
          <w:rFonts w:hAnsi="宋体" w:cs="Arial"/>
          <w:sz w:val="24"/>
          <w:szCs w:val="24"/>
        </w:rPr>
      </w:pPr>
      <w:r>
        <w:rPr>
          <w:rFonts w:hint="eastAsia" w:hAnsi="宋体" w:cs="Arial"/>
          <w:sz w:val="24"/>
          <w:szCs w:val="24"/>
        </w:rPr>
        <w:t>其它有关的现行标准。</w:t>
      </w:r>
      <w:r>
        <w:rPr>
          <w:rFonts w:hAnsi="宋体" w:cs="Arial"/>
          <w:sz w:val="24"/>
          <w:szCs w:val="24"/>
        </w:rPr>
        <w:tab/>
      </w:r>
    </w:p>
    <w:p>
      <w:pPr>
        <w:pStyle w:val="37"/>
        <w:tabs>
          <w:tab w:val="left" w:pos="2880"/>
        </w:tabs>
        <w:spacing w:line="540" w:lineRule="exact"/>
        <w:rPr>
          <w:rFonts w:hAnsi="宋体" w:cs="Arial"/>
          <w:sz w:val="24"/>
          <w:szCs w:val="24"/>
        </w:rPr>
      </w:pPr>
      <w:r>
        <w:rPr>
          <w:rFonts w:hint="eastAsia" w:hAnsi="宋体"/>
          <w:sz w:val="24"/>
        </w:rPr>
        <w:t>以上标准应执行最新版本。</w:t>
      </w:r>
    </w:p>
    <w:p>
      <w:pPr>
        <w:pStyle w:val="164"/>
        <w:outlineLvl w:val="9"/>
        <w:rPr>
          <w:rFonts w:hAnsi="宋体"/>
          <w:kern w:val="44"/>
          <w:sz w:val="36"/>
          <w:szCs w:val="36"/>
        </w:rPr>
      </w:pPr>
      <w:bookmarkStart w:id="20" w:name="_Toc393482928"/>
      <w:bookmarkStart w:id="21" w:name="_Toc393482790"/>
      <w:bookmarkStart w:id="22" w:name="_Toc393483249"/>
      <w:r>
        <w:rPr>
          <w:rFonts w:hAnsi="宋体"/>
          <w:kern w:val="44"/>
          <w:sz w:val="36"/>
          <w:szCs w:val="36"/>
        </w:rPr>
        <w:br w:type="page"/>
      </w:r>
      <w:bookmarkStart w:id="23" w:name="_Toc456080776"/>
    </w:p>
    <w:p>
      <w:pPr>
        <w:pStyle w:val="164"/>
        <w:rPr>
          <w:rFonts w:hAnsi="宋体"/>
          <w:kern w:val="44"/>
          <w:sz w:val="36"/>
          <w:szCs w:val="36"/>
        </w:rPr>
      </w:pPr>
      <w:bookmarkStart w:id="24" w:name="_Toc489593139"/>
      <w:bookmarkStart w:id="25" w:name="_Toc30291"/>
      <w:bookmarkStart w:id="26" w:name="_Toc489593171"/>
      <w:bookmarkStart w:id="27" w:name="_Toc2362"/>
      <w:bookmarkStart w:id="28" w:name="_Toc31285"/>
      <w:bookmarkStart w:id="29" w:name="_Toc13231"/>
      <w:r>
        <w:rPr>
          <w:rFonts w:hAnsi="宋体"/>
          <w:kern w:val="44"/>
          <w:sz w:val="36"/>
          <w:szCs w:val="36"/>
        </w:rPr>
        <w:t>第</w:t>
      </w:r>
      <w:r>
        <w:rPr>
          <w:rFonts w:hint="eastAsia" w:hAnsi="宋体"/>
          <w:kern w:val="44"/>
          <w:sz w:val="36"/>
          <w:szCs w:val="36"/>
        </w:rPr>
        <w:t>二</w:t>
      </w:r>
      <w:r>
        <w:rPr>
          <w:rFonts w:hAnsi="宋体"/>
          <w:kern w:val="44"/>
          <w:sz w:val="36"/>
          <w:szCs w:val="36"/>
        </w:rPr>
        <w:t>条</w:t>
      </w:r>
      <w:r>
        <w:rPr>
          <w:rFonts w:hint="eastAsia" w:hAnsi="宋体"/>
          <w:kern w:val="44"/>
          <w:sz w:val="36"/>
          <w:szCs w:val="36"/>
        </w:rPr>
        <w:t xml:space="preserve"> 系统总体目标及技术要求</w:t>
      </w:r>
      <w:bookmarkEnd w:id="20"/>
      <w:bookmarkEnd w:id="21"/>
      <w:bookmarkEnd w:id="22"/>
      <w:bookmarkEnd w:id="23"/>
      <w:bookmarkEnd w:id="24"/>
      <w:bookmarkEnd w:id="25"/>
      <w:bookmarkEnd w:id="26"/>
      <w:bookmarkEnd w:id="27"/>
      <w:bookmarkEnd w:id="28"/>
      <w:bookmarkEnd w:id="29"/>
    </w:p>
    <w:p>
      <w:pPr>
        <w:pStyle w:val="28"/>
        <w:adjustRightInd w:val="0"/>
        <w:spacing w:line="360" w:lineRule="auto"/>
        <w:ind w:left="0" w:leftChars="0" w:firstLine="420"/>
        <w:contextualSpacing/>
        <w:outlineLvl w:val="1"/>
        <w:rPr>
          <w:rFonts w:ascii="宋体" w:hAnsi="宋体" w:cs="Courier New"/>
          <w:b/>
          <w:bCs/>
          <w:sz w:val="24"/>
        </w:rPr>
      </w:pPr>
      <w:bookmarkStart w:id="30" w:name="_Toc489593172"/>
      <w:bookmarkStart w:id="31" w:name="_Toc456080777"/>
      <w:bookmarkStart w:id="32" w:name="_Toc10194"/>
      <w:bookmarkStart w:id="33" w:name="_Toc15746"/>
      <w:bookmarkStart w:id="34" w:name="_Toc489593140"/>
      <w:bookmarkStart w:id="35" w:name="_Toc18408"/>
      <w:bookmarkStart w:id="36" w:name="_Toc393482929"/>
      <w:bookmarkStart w:id="37" w:name="_Toc361407873"/>
      <w:bookmarkStart w:id="38" w:name="_Toc393482791"/>
      <w:bookmarkStart w:id="39" w:name="_Toc393483250"/>
      <w:r>
        <w:rPr>
          <w:rFonts w:hint="eastAsia" w:ascii="宋体" w:hAnsi="宋体" w:cs="Courier New"/>
          <w:b/>
          <w:bCs/>
          <w:sz w:val="24"/>
        </w:rPr>
        <w:t>一、系统运行环境</w:t>
      </w:r>
      <w:bookmarkEnd w:id="30"/>
      <w:bookmarkEnd w:id="31"/>
      <w:bookmarkEnd w:id="32"/>
      <w:bookmarkEnd w:id="33"/>
      <w:bookmarkEnd w:id="34"/>
      <w:bookmarkEnd w:id="35"/>
      <w:bookmarkEnd w:id="36"/>
      <w:bookmarkEnd w:id="37"/>
      <w:bookmarkEnd w:id="38"/>
      <w:bookmarkEnd w:id="39"/>
    </w:p>
    <w:p>
      <w:pPr>
        <w:autoSpaceDE w:val="0"/>
        <w:autoSpaceDN w:val="0"/>
        <w:spacing w:line="360" w:lineRule="auto"/>
        <w:ind w:firstLine="420"/>
        <w:rPr>
          <w:rFonts w:ascii="宋体" w:hAnsi="宋体"/>
          <w:sz w:val="24"/>
        </w:rPr>
      </w:pPr>
      <w:r>
        <w:rPr>
          <w:rFonts w:hint="eastAsia" w:ascii="宋体" w:hAnsi="宋体"/>
          <w:sz w:val="24"/>
        </w:rPr>
        <w:t>冬瓜山铜矿是</w:t>
      </w:r>
      <w:r>
        <w:fldChar w:fldCharType="begin"/>
      </w:r>
      <w:r>
        <w:instrText xml:space="preserve"> HYPERLINK "https://baike.baidu.com/item/%E9%93%9C%E9%99%B5%E6%9C%89%E8%89%B2%E9%87%91%E5%B1%9E%E9%9B%86%E5%9B%A2%E8%82%A1%E4%BB%BD%E6%9C%89%E9%99%90%E5%85%AC%E5%8F%B8/8374698" \t "https://baike.baidu.com/item/%E5%86%AC%E7%93%9C%E5%B1%B1%E9%93%9C%E7%9F%BF/_blank" </w:instrText>
      </w:r>
      <w:r>
        <w:fldChar w:fldCharType="separate"/>
      </w:r>
      <w:r>
        <w:rPr>
          <w:rFonts w:ascii="宋体" w:hAnsi="宋体"/>
          <w:sz w:val="24"/>
        </w:rPr>
        <w:t>铜陵有色金属集团股份有限公司</w:t>
      </w:r>
      <w:r>
        <w:rPr>
          <w:rFonts w:ascii="宋体" w:hAnsi="宋体"/>
          <w:sz w:val="24"/>
        </w:rPr>
        <w:fldChar w:fldCharType="end"/>
      </w:r>
      <w:r>
        <w:rPr>
          <w:rFonts w:ascii="宋体" w:hAnsi="宋体"/>
          <w:sz w:val="24"/>
        </w:rPr>
        <w:t>下属的一座采选联合骨干矿山，地处享誉中国古铜都美称的铜陵市东陲，地理位置优越，矿区北邻宁铜铁路，东接芜大高速公路，西临长江通道，南毗黄山、九华山景点，交通十分便捷</w:t>
      </w:r>
    </w:p>
    <w:p>
      <w:pPr>
        <w:autoSpaceDE w:val="0"/>
        <w:autoSpaceDN w:val="0"/>
        <w:spacing w:line="360" w:lineRule="auto"/>
        <w:ind w:left="2539" w:leftChars="400" w:hanging="1699" w:hangingChars="708"/>
        <w:rPr>
          <w:rFonts w:ascii="宋体" w:hAnsi="宋体"/>
          <w:sz w:val="24"/>
        </w:rPr>
      </w:pPr>
      <w:r>
        <w:rPr>
          <w:rFonts w:hint="eastAsia" w:ascii="宋体" w:hAnsi="宋体"/>
          <w:sz w:val="24"/>
        </w:rPr>
        <w:t>安装地点：新桥硫铁矿牛山排土场附近矿界内位置</w:t>
      </w:r>
    </w:p>
    <w:p>
      <w:pPr>
        <w:autoSpaceDE w:val="0"/>
        <w:autoSpaceDN w:val="0"/>
        <w:spacing w:line="360" w:lineRule="auto"/>
        <w:ind w:left="2539" w:leftChars="400" w:hanging="1699" w:hangingChars="708"/>
        <w:rPr>
          <w:rFonts w:ascii="宋体" w:hAnsi="宋体"/>
          <w:kern w:val="0"/>
          <w:sz w:val="24"/>
        </w:rPr>
      </w:pPr>
      <w:r>
        <w:rPr>
          <w:rFonts w:hint="eastAsia" w:ascii="宋体" w:hAnsi="宋体"/>
          <w:sz w:val="24"/>
        </w:rPr>
        <w:t>海拔高度：地面145</w:t>
      </w:r>
      <w:r>
        <w:rPr>
          <w:rFonts w:ascii="宋体" w:hAnsi="宋体"/>
          <w:sz w:val="24"/>
        </w:rPr>
        <w:t>m</w:t>
      </w:r>
      <w:r>
        <w:rPr>
          <w:rFonts w:hint="eastAsia" w:ascii="宋体" w:hAnsi="宋体"/>
          <w:sz w:val="24"/>
        </w:rPr>
        <w:t>；</w:t>
      </w:r>
    </w:p>
    <w:p>
      <w:pPr>
        <w:autoSpaceDE w:val="0"/>
        <w:autoSpaceDN w:val="0"/>
        <w:spacing w:line="360" w:lineRule="auto"/>
        <w:ind w:left="2539" w:leftChars="400" w:hanging="1699" w:hangingChars="708"/>
        <w:rPr>
          <w:rFonts w:ascii="宋体" w:hAnsi="宋体"/>
          <w:sz w:val="24"/>
        </w:rPr>
      </w:pPr>
      <w:r>
        <w:rPr>
          <w:rFonts w:hint="eastAsia" w:ascii="宋体" w:hAnsi="宋体"/>
          <w:sz w:val="24"/>
        </w:rPr>
        <w:t>环境温度：地面-7.0-39</w:t>
      </w:r>
      <w:r>
        <w:rPr>
          <w:rFonts w:hint="eastAsia" w:ascii="宋体" w:hAnsi="宋体"/>
          <w:szCs w:val="21"/>
        </w:rPr>
        <w:t>℃</w:t>
      </w:r>
      <w:r>
        <w:rPr>
          <w:rFonts w:hint="eastAsia" w:ascii="宋体" w:hAnsi="宋体"/>
          <w:sz w:val="24"/>
        </w:rPr>
        <w:t xml:space="preserve">；    </w:t>
      </w:r>
    </w:p>
    <w:p>
      <w:pPr>
        <w:pStyle w:val="28"/>
        <w:adjustRightInd w:val="0"/>
        <w:spacing w:line="360" w:lineRule="auto"/>
        <w:ind w:left="0" w:leftChars="0" w:firstLine="420"/>
        <w:contextualSpacing/>
        <w:outlineLvl w:val="1"/>
        <w:rPr>
          <w:rFonts w:ascii="宋体" w:hAnsi="宋体" w:cs="Courier New"/>
          <w:b/>
          <w:bCs/>
          <w:sz w:val="24"/>
        </w:rPr>
      </w:pPr>
      <w:bookmarkStart w:id="40" w:name="_Toc393482930"/>
      <w:bookmarkStart w:id="41" w:name="_Toc3103"/>
      <w:bookmarkStart w:id="42" w:name="_Toc393482792"/>
      <w:bookmarkStart w:id="43" w:name="_Toc489593173"/>
      <w:bookmarkStart w:id="44" w:name="_Toc393483251"/>
      <w:bookmarkStart w:id="45" w:name="_Toc456080778"/>
      <w:bookmarkStart w:id="46" w:name="_Toc16835"/>
      <w:bookmarkStart w:id="47" w:name="_Toc2533"/>
      <w:bookmarkStart w:id="48" w:name="_Toc489593141"/>
      <w:r>
        <w:rPr>
          <w:rFonts w:hint="eastAsia" w:ascii="宋体" w:hAnsi="宋体" w:cs="Courier New"/>
          <w:b/>
          <w:bCs/>
          <w:sz w:val="24"/>
        </w:rPr>
        <w:t>二</w:t>
      </w:r>
      <w:r>
        <w:rPr>
          <w:rFonts w:ascii="宋体" w:hAnsi="宋体" w:cs="Courier New"/>
          <w:b/>
          <w:bCs/>
          <w:sz w:val="24"/>
        </w:rPr>
        <w:t>、</w:t>
      </w:r>
      <w:r>
        <w:rPr>
          <w:rFonts w:hint="eastAsia" w:ascii="宋体" w:hAnsi="宋体" w:cs="Courier New"/>
          <w:b/>
          <w:bCs/>
          <w:sz w:val="24"/>
        </w:rPr>
        <w:t>工程范围</w:t>
      </w:r>
      <w:bookmarkEnd w:id="40"/>
      <w:bookmarkEnd w:id="41"/>
      <w:bookmarkEnd w:id="42"/>
      <w:bookmarkEnd w:id="43"/>
      <w:bookmarkEnd w:id="44"/>
      <w:bookmarkEnd w:id="45"/>
      <w:bookmarkEnd w:id="46"/>
      <w:bookmarkEnd w:id="47"/>
      <w:bookmarkEnd w:id="48"/>
    </w:p>
    <w:p>
      <w:pPr>
        <w:spacing w:line="360" w:lineRule="auto"/>
        <w:ind w:firstLine="480" w:firstLineChars="200"/>
        <w:rPr>
          <w:rFonts w:ascii="宋体" w:hAnsi="宋体" w:cs="Courier New"/>
          <w:sz w:val="24"/>
        </w:rPr>
      </w:pPr>
      <w:bookmarkStart w:id="49" w:name="_Toc12241"/>
      <w:bookmarkStart w:id="50" w:name="_Toc456080779"/>
      <w:bookmarkStart w:id="51" w:name="_Toc489593174"/>
      <w:r>
        <w:rPr>
          <w:rFonts w:hint="eastAsia" w:ascii="宋体" w:hAnsi="宋体" w:cs="Courier New"/>
          <w:sz w:val="24"/>
        </w:rPr>
        <w:t>本工程为冬瓜山铜矿尾矿远程输送与制备固化回填工程尾矿回填制备系统</w:t>
      </w:r>
      <w:r>
        <w:rPr>
          <w:rFonts w:hint="eastAsia" w:ascii="宋体" w:hAnsi="宋体" w:cs="Courier New"/>
          <w:sz w:val="24"/>
          <w:lang w:eastAsia="zh-CN"/>
        </w:rPr>
        <w:t>（以</w:t>
      </w:r>
      <w:r>
        <w:rPr>
          <w:rFonts w:hint="eastAsia" w:ascii="宋体" w:hAnsi="宋体" w:cs="Courier New"/>
          <w:sz w:val="24"/>
        </w:rPr>
        <w:t>下简称尾矿回填制备系统</w:t>
      </w:r>
      <w:r>
        <w:rPr>
          <w:rFonts w:hint="eastAsia" w:ascii="宋体" w:hAnsi="宋体" w:cs="Courier New"/>
          <w:sz w:val="24"/>
          <w:lang w:eastAsia="zh-CN"/>
        </w:rPr>
        <w:t>），根据工艺流程，</w:t>
      </w:r>
      <w:r>
        <w:rPr>
          <w:rFonts w:hint="eastAsia" w:ascii="宋体" w:hAnsi="宋体" w:cs="Courier New"/>
          <w:sz w:val="24"/>
        </w:rPr>
        <w:t>由回水泵房和配电室控制系统和</w:t>
      </w:r>
      <w:r>
        <w:rPr>
          <w:rFonts w:hint="eastAsia" w:ascii="宋体" w:hAnsi="宋体" w:cs="Courier New"/>
          <w:sz w:val="24"/>
          <w:lang w:eastAsia="zh-CN"/>
        </w:rPr>
        <w:t>制备站</w:t>
      </w:r>
      <w:r>
        <w:rPr>
          <w:rFonts w:hint="eastAsia" w:ascii="宋体" w:hAnsi="宋体" w:cs="Courier New"/>
          <w:sz w:val="24"/>
        </w:rPr>
        <w:t>控制系统构成。</w:t>
      </w:r>
    </w:p>
    <w:p>
      <w:pPr>
        <w:pStyle w:val="28"/>
        <w:adjustRightInd w:val="0"/>
        <w:spacing w:line="360" w:lineRule="auto"/>
        <w:ind w:left="0" w:leftChars="0" w:firstLine="420"/>
        <w:contextualSpacing/>
        <w:outlineLvl w:val="2"/>
        <w:rPr>
          <w:rFonts w:ascii="宋体" w:hAnsi="宋体" w:cs="Courier New"/>
          <w:b/>
          <w:bCs/>
          <w:sz w:val="24"/>
        </w:rPr>
      </w:pPr>
      <w:bookmarkStart w:id="52" w:name="_Toc21536"/>
      <w:r>
        <w:rPr>
          <w:rFonts w:hint="eastAsia" w:ascii="宋体" w:hAnsi="宋体" w:cs="Courier New"/>
          <w:b/>
          <w:bCs/>
          <w:sz w:val="24"/>
        </w:rPr>
        <w:t>2.1建设目标</w:t>
      </w:r>
      <w:bookmarkEnd w:id="49"/>
      <w:bookmarkEnd w:id="50"/>
      <w:bookmarkEnd w:id="51"/>
      <w:bookmarkEnd w:id="52"/>
    </w:p>
    <w:p>
      <w:pPr>
        <w:spacing w:line="360" w:lineRule="auto"/>
        <w:ind w:firstLine="482"/>
        <w:rPr>
          <w:rFonts w:hint="eastAsia" w:ascii="宋体" w:hAnsi="宋体" w:cs="Courier New"/>
          <w:sz w:val="24"/>
          <w:lang w:eastAsia="zh-CN"/>
        </w:rPr>
      </w:pPr>
      <w:bookmarkStart w:id="53" w:name="_Toc489593175"/>
      <w:r>
        <w:rPr>
          <w:rFonts w:hint="eastAsia" w:ascii="宋体" w:hAnsi="宋体" w:cs="Courier New"/>
          <w:sz w:val="24"/>
        </w:rPr>
        <w:t>冬瓜山铜矿尾矿回填制备系统</w:t>
      </w:r>
      <w:r>
        <w:rPr>
          <w:rFonts w:hint="eastAsia" w:ascii="宋体" w:hAnsi="宋体" w:cs="Courier New"/>
          <w:sz w:val="24"/>
          <w:lang w:eastAsia="zh-CN"/>
        </w:rPr>
        <w:t>通过增加</w:t>
      </w:r>
      <w:r>
        <w:rPr>
          <w:rFonts w:hint="eastAsia" w:ascii="宋体" w:hAnsi="宋体" w:cs="Courier New"/>
          <w:sz w:val="24"/>
        </w:rPr>
        <w:t>回水泵房和配电室</w:t>
      </w:r>
      <w:r>
        <w:rPr>
          <w:rFonts w:hint="eastAsia" w:ascii="宋体" w:hAnsi="宋体" w:cs="Courier New"/>
          <w:sz w:val="24"/>
          <w:lang w:eastAsia="zh-CN"/>
        </w:rPr>
        <w:t>控制站和制备控制站采集周边设备、传感器信息，控制工艺流程范围内设备启停；同时与空压机、1#絮凝剂、2#絮凝剂、1#充填泵、</w:t>
      </w:r>
      <w:r>
        <w:rPr>
          <w:rFonts w:hint="eastAsia" w:ascii="宋体" w:hAnsi="宋体" w:cs="Courier New"/>
          <w:sz w:val="24"/>
          <w:lang w:val="en-US" w:eastAsia="zh-CN"/>
        </w:rPr>
        <w:t>2</w:t>
      </w:r>
      <w:r>
        <w:rPr>
          <w:rFonts w:hint="eastAsia" w:ascii="宋体" w:hAnsi="宋体" w:cs="Courier New"/>
          <w:sz w:val="24"/>
          <w:lang w:eastAsia="zh-CN"/>
        </w:rPr>
        <w:t>#充填泵和深锥就地PLC柜</w:t>
      </w:r>
      <w:r>
        <w:rPr>
          <w:rFonts w:hint="eastAsia" w:ascii="宋体" w:hAnsi="宋体" w:cs="Courier New"/>
          <w:sz w:val="24"/>
          <w:lang w:val="en-US" w:eastAsia="zh-CN"/>
        </w:rPr>
        <w:t>DP通讯，实现整个</w:t>
      </w:r>
      <w:r>
        <w:rPr>
          <w:rFonts w:hint="eastAsia" w:ascii="宋体" w:hAnsi="宋体" w:cs="Courier New"/>
          <w:sz w:val="24"/>
        </w:rPr>
        <w:t>尾矿回填制备系统</w:t>
      </w:r>
      <w:r>
        <w:rPr>
          <w:rFonts w:hint="eastAsia" w:ascii="宋体" w:hAnsi="宋体" w:cs="Courier New"/>
          <w:sz w:val="24"/>
          <w:lang w:eastAsia="zh-CN"/>
        </w:rPr>
        <w:t>的自动化，达到工艺要求。</w:t>
      </w:r>
    </w:p>
    <w:p>
      <w:pPr>
        <w:spacing w:line="360" w:lineRule="auto"/>
        <w:ind w:firstLine="482"/>
        <w:rPr>
          <w:rFonts w:hint="eastAsia" w:ascii="宋体" w:hAnsi="宋体" w:cs="Courier New"/>
          <w:sz w:val="24"/>
          <w:lang w:val="en-US" w:eastAsia="zh-CN"/>
        </w:rPr>
      </w:pPr>
      <w:r>
        <w:rPr>
          <w:rFonts w:hint="eastAsia" w:ascii="宋体" w:hAnsi="宋体" w:cs="Courier New"/>
          <w:sz w:val="24"/>
          <w:lang w:eastAsia="zh-CN"/>
        </w:rPr>
        <w:t>工艺流程如下：</w:t>
      </w:r>
    </w:p>
    <w:p>
      <w:pPr>
        <w:spacing w:line="360" w:lineRule="auto"/>
        <w:ind w:firstLine="482"/>
        <w:rPr>
          <w:rFonts w:hint="eastAsia" w:ascii="宋体" w:hAnsi="宋体" w:cs="Courier New"/>
          <w:sz w:val="24"/>
        </w:rPr>
      </w:pPr>
      <w:r>
        <w:rPr>
          <w:rFonts w:hint="eastAsia" w:ascii="宋体" w:hAnsi="宋体" w:cs="Courier New"/>
          <w:sz w:val="24"/>
        </w:rPr>
        <w:t>冬瓜山铜矿选厂排出的全尾砂浆经尾矿远程输送系统输送至回填制备站的深锥浓密机中，在向深锥浓密机供矿的同时，通过药剂添加系统加入絮凝剂，以提高全尾砂的沉降速度，降低溢流水含固量。全尾砂浓缩沉降后排出的溢流水自流至深锥浓密机旁设置的溢流水池，用作回填生产用水，多余部分泵送返回冬瓜山铜矿回水循环利用；回填时，深锥浓密机底流料浆经泵输送至</w:t>
      </w:r>
      <w:r>
        <w:rPr>
          <w:rFonts w:hint="eastAsia" w:ascii="宋体" w:hAnsi="宋体" w:cs="Courier New"/>
          <w:sz w:val="24"/>
          <w:lang w:eastAsia="zh-CN"/>
        </w:rPr>
        <w:t>回填制备站</w:t>
      </w:r>
      <w:r>
        <w:rPr>
          <w:rFonts w:hint="eastAsia" w:ascii="宋体" w:hAnsi="宋体" w:cs="Courier New"/>
          <w:sz w:val="24"/>
        </w:rPr>
        <w:t>搅拌系统，与来自立式料仓的胶凝材料充分搅拌，制备成合乎要求的回填料浆，通过回填工业泵和回填管道输送至露天采坑回填区域。</w:t>
      </w:r>
    </w:p>
    <w:p>
      <w:pPr>
        <w:pStyle w:val="28"/>
        <w:adjustRightInd w:val="0"/>
        <w:spacing w:line="360" w:lineRule="auto"/>
        <w:ind w:left="0" w:leftChars="0" w:firstLine="420"/>
        <w:contextualSpacing/>
        <w:outlineLvl w:val="2"/>
        <w:rPr>
          <w:rFonts w:ascii="宋体" w:hAnsi="宋体" w:cs="Courier New"/>
          <w:b/>
          <w:bCs/>
          <w:sz w:val="24"/>
        </w:rPr>
      </w:pPr>
      <w:bookmarkStart w:id="54" w:name="_Toc20625"/>
      <w:r>
        <w:rPr>
          <w:rFonts w:hint="eastAsia" w:ascii="宋体" w:hAnsi="宋体" w:cs="Courier New"/>
          <w:b/>
          <w:bCs/>
          <w:sz w:val="24"/>
        </w:rPr>
        <w:t>2.2建设内容</w:t>
      </w:r>
      <w:bookmarkEnd w:id="53"/>
      <w:bookmarkEnd w:id="54"/>
    </w:p>
    <w:p>
      <w:pPr>
        <w:spacing w:line="360" w:lineRule="auto"/>
        <w:ind w:firstLine="480" w:firstLineChars="200"/>
        <w:jc w:val="left"/>
        <w:rPr>
          <w:rFonts w:ascii="宋体" w:hAnsi="宋体"/>
          <w:sz w:val="24"/>
        </w:rPr>
      </w:pPr>
      <w:bookmarkStart w:id="55" w:name="_Toc456080781"/>
      <w:bookmarkStart w:id="56" w:name="_Toc27828"/>
      <w:bookmarkStart w:id="57" w:name="_Toc31392"/>
      <w:bookmarkStart w:id="58" w:name="_Toc16824"/>
      <w:r>
        <w:rPr>
          <w:rFonts w:hint="eastAsia" w:ascii="宋体" w:hAnsi="宋体" w:eastAsia="宋体"/>
          <w:sz w:val="24"/>
        </w:rPr>
        <w:t xml:space="preserve"> 本次</w:t>
      </w:r>
      <w:r>
        <w:rPr>
          <w:rFonts w:hint="eastAsia" w:ascii="宋体" w:hAnsi="宋体" w:cs="Courier New"/>
          <w:sz w:val="24"/>
        </w:rPr>
        <w:t>尾矿回填制备系统</w:t>
      </w:r>
      <w:r>
        <w:rPr>
          <w:rFonts w:hint="eastAsia" w:ascii="宋体" w:hAnsi="宋体" w:eastAsia="宋体"/>
          <w:sz w:val="24"/>
        </w:rPr>
        <w:t>设计安装</w:t>
      </w:r>
      <w:r>
        <w:rPr>
          <w:rFonts w:hint="eastAsia" w:ascii="宋体" w:hAnsi="宋体"/>
          <w:sz w:val="24"/>
          <w:lang w:val="en-US" w:eastAsia="zh-CN"/>
        </w:rPr>
        <w:t>2</w:t>
      </w:r>
      <w:r>
        <w:rPr>
          <w:rFonts w:hint="eastAsia" w:ascii="宋体" w:hAnsi="宋体" w:eastAsia="宋体"/>
          <w:sz w:val="24"/>
        </w:rPr>
        <w:t>台PLC</w:t>
      </w:r>
      <w:r>
        <w:rPr>
          <w:rFonts w:hint="eastAsia" w:ascii="宋体" w:hAnsi="宋体"/>
          <w:sz w:val="24"/>
        </w:rPr>
        <w:t>控制站，包含</w:t>
      </w:r>
      <w:r>
        <w:rPr>
          <w:rFonts w:hint="eastAsia" w:ascii="宋体" w:hAnsi="宋体" w:cs="Courier New"/>
          <w:sz w:val="24"/>
          <w:lang w:eastAsia="zh-CN"/>
        </w:rPr>
        <w:t>制备</w:t>
      </w:r>
      <w:r>
        <w:rPr>
          <w:rFonts w:hint="eastAsia" w:ascii="宋体" w:hAnsi="宋体"/>
          <w:sz w:val="24"/>
        </w:rPr>
        <w:t>站</w:t>
      </w:r>
      <w:r>
        <w:rPr>
          <w:rFonts w:hint="eastAsia" w:ascii="宋体" w:hAnsi="宋体"/>
          <w:sz w:val="24"/>
          <w:lang w:eastAsia="zh-CN"/>
        </w:rPr>
        <w:t>、</w:t>
      </w:r>
      <w:r>
        <w:rPr>
          <w:rFonts w:hint="eastAsia" w:ascii="宋体" w:hAnsi="宋体" w:cs="Courier New"/>
          <w:sz w:val="24"/>
        </w:rPr>
        <w:t>回水泵房和配电室</w:t>
      </w:r>
      <w:r>
        <w:rPr>
          <w:rFonts w:hint="eastAsia" w:ascii="宋体" w:hAnsi="宋体" w:cs="Courier New"/>
          <w:sz w:val="24"/>
          <w:lang w:eastAsia="zh-CN"/>
        </w:rPr>
        <w:t>控制站</w:t>
      </w:r>
      <w:r>
        <w:rPr>
          <w:rFonts w:hint="eastAsia" w:ascii="宋体" w:hAnsi="宋体"/>
          <w:sz w:val="24"/>
        </w:rPr>
        <w:t>；在</w:t>
      </w:r>
      <w:r>
        <w:rPr>
          <w:rFonts w:hint="eastAsia" w:ascii="宋体" w:hAnsi="宋体"/>
          <w:sz w:val="24"/>
          <w:lang w:eastAsia="zh-CN"/>
        </w:rPr>
        <w:t>制备站</w:t>
      </w:r>
      <w:r>
        <w:rPr>
          <w:rFonts w:hint="eastAsia" w:ascii="宋体" w:hAnsi="宋体"/>
          <w:sz w:val="24"/>
        </w:rPr>
        <w:t>控</w:t>
      </w:r>
      <w:r>
        <w:rPr>
          <w:rFonts w:hint="eastAsia" w:ascii="宋体" w:hAnsi="宋体"/>
          <w:sz w:val="24"/>
          <w:lang w:eastAsia="zh-CN"/>
        </w:rPr>
        <w:t>制</w:t>
      </w:r>
      <w:r>
        <w:rPr>
          <w:rFonts w:hint="eastAsia" w:ascii="宋体" w:hAnsi="宋体"/>
          <w:sz w:val="24"/>
        </w:rPr>
        <w:t>室设置工程师站1台，OS操作员站1台。实现现场生产过程的模拟显示、操作指令下达、报警显示、历史记录、报表分析、数据存储等功能。上位机系统与控制器采用100M 以太网，通过工业交换机连接。</w:t>
      </w:r>
    </w:p>
    <w:p>
      <w:pPr>
        <w:spacing w:line="360" w:lineRule="auto"/>
        <w:ind w:firstLine="480" w:firstLineChars="200"/>
        <w:jc w:val="left"/>
        <w:rPr>
          <w:rFonts w:ascii="宋体" w:hAnsi="宋体"/>
          <w:sz w:val="24"/>
        </w:rPr>
      </w:pPr>
      <w:r>
        <w:rPr>
          <w:rFonts w:hint="eastAsia" w:ascii="宋体" w:hAnsi="宋体"/>
          <w:sz w:val="24"/>
        </w:rPr>
        <w:t>PLC系统的控制器采用了S7-</w:t>
      </w:r>
      <w:r>
        <w:rPr>
          <w:rFonts w:ascii="宋体" w:hAnsi="宋体"/>
          <w:sz w:val="24"/>
        </w:rPr>
        <w:t>1500</w:t>
      </w:r>
      <w:r>
        <w:rPr>
          <w:rFonts w:hint="eastAsia" w:ascii="宋体" w:hAnsi="宋体"/>
          <w:sz w:val="24"/>
        </w:rPr>
        <w:t>控制系统，</w:t>
      </w:r>
      <w:r>
        <w:rPr>
          <w:rFonts w:hint="eastAsia" w:ascii="宋体" w:hAnsi="宋体" w:cs="Courier New"/>
          <w:sz w:val="24"/>
          <w:lang w:eastAsia="zh-CN"/>
        </w:rPr>
        <w:t>制备站主站与</w:t>
      </w:r>
      <w:r>
        <w:rPr>
          <w:rFonts w:hint="eastAsia" w:ascii="宋体" w:hAnsi="宋体" w:cs="Courier New"/>
          <w:sz w:val="24"/>
        </w:rPr>
        <w:t>水泵房和配电室</w:t>
      </w:r>
      <w:r>
        <w:rPr>
          <w:rFonts w:hint="eastAsia" w:ascii="宋体" w:hAnsi="宋体" w:cs="Courier New"/>
          <w:sz w:val="24"/>
          <w:lang w:eastAsia="zh-CN"/>
        </w:rPr>
        <w:t>控制站</w:t>
      </w:r>
      <w:r>
        <w:rPr>
          <w:rFonts w:hint="eastAsia" w:ascii="宋体" w:hAnsi="宋体"/>
          <w:sz w:val="24"/>
          <w:lang w:eastAsia="zh-CN"/>
        </w:rPr>
        <w:t>之间采用</w:t>
      </w:r>
      <w:r>
        <w:rPr>
          <w:rFonts w:hint="eastAsia" w:ascii="宋体" w:hAnsi="宋体"/>
          <w:sz w:val="24"/>
          <w:lang w:val="en-US" w:eastAsia="zh-CN"/>
        </w:rPr>
        <w:t>DP通讯连接</w:t>
      </w:r>
      <w:r>
        <w:rPr>
          <w:rFonts w:hint="eastAsia" w:ascii="宋体" w:hAnsi="宋体"/>
          <w:sz w:val="24"/>
        </w:rPr>
        <w:t>，完成现场仪表</w:t>
      </w:r>
      <w:r>
        <w:rPr>
          <w:rFonts w:hint="eastAsia" w:ascii="宋体" w:hAnsi="宋体"/>
          <w:sz w:val="24"/>
          <w:lang w:eastAsia="zh-CN"/>
        </w:rPr>
        <w:t>传感器</w:t>
      </w:r>
      <w:r>
        <w:rPr>
          <w:rFonts w:hint="eastAsia" w:ascii="宋体" w:hAnsi="宋体"/>
          <w:sz w:val="24"/>
        </w:rPr>
        <w:t>数据的在线采集、电机运行状态的监测。</w:t>
      </w:r>
      <w:r>
        <w:rPr>
          <w:rFonts w:hint="eastAsia" w:ascii="宋体" w:hAnsi="宋体" w:cs="Courier New"/>
          <w:sz w:val="24"/>
          <w:lang w:eastAsia="zh-CN"/>
        </w:rPr>
        <w:t>制备站主站与空压机、1#絮凝剂、2#絮凝剂、1#充填泵、</w:t>
      </w:r>
      <w:r>
        <w:rPr>
          <w:rFonts w:hint="eastAsia" w:ascii="宋体" w:hAnsi="宋体" w:cs="Courier New"/>
          <w:sz w:val="24"/>
          <w:lang w:val="en-US" w:eastAsia="zh-CN"/>
        </w:rPr>
        <w:t>2</w:t>
      </w:r>
      <w:r>
        <w:rPr>
          <w:rFonts w:hint="eastAsia" w:ascii="宋体" w:hAnsi="宋体" w:cs="Courier New"/>
          <w:sz w:val="24"/>
          <w:lang w:eastAsia="zh-CN"/>
        </w:rPr>
        <w:t>#充填泵和深锥就地PLC柜</w:t>
      </w:r>
      <w:r>
        <w:rPr>
          <w:rFonts w:hint="eastAsia" w:ascii="宋体" w:hAnsi="宋体" w:cs="Courier New"/>
          <w:sz w:val="24"/>
          <w:lang w:val="en-US" w:eastAsia="zh-CN"/>
        </w:rPr>
        <w:t>DP通讯，采集数据并根据工艺流程远程控制启停。</w:t>
      </w:r>
      <w:r>
        <w:rPr>
          <w:rFonts w:hint="eastAsia" w:ascii="宋体" w:hAnsi="宋体"/>
          <w:sz w:val="24"/>
        </w:rPr>
        <w:t>本系统控制分如下</w:t>
      </w:r>
      <w:r>
        <w:rPr>
          <w:rFonts w:hint="eastAsia" w:ascii="宋体" w:hAnsi="宋体"/>
          <w:sz w:val="24"/>
          <w:lang w:eastAsia="zh-CN"/>
        </w:rPr>
        <w:t>二</w:t>
      </w:r>
      <w:r>
        <w:rPr>
          <w:rFonts w:hint="eastAsia" w:ascii="宋体" w:hAnsi="宋体"/>
          <w:sz w:val="24"/>
        </w:rPr>
        <w:t>个部分：</w:t>
      </w:r>
    </w:p>
    <w:p>
      <w:pPr>
        <w:pStyle w:val="376"/>
        <w:numPr>
          <w:ilvl w:val="0"/>
          <w:numId w:val="9"/>
        </w:numPr>
        <w:spacing w:line="360" w:lineRule="auto"/>
        <w:ind w:firstLineChars="0"/>
        <w:jc w:val="left"/>
        <w:rPr>
          <w:rFonts w:ascii="宋体" w:hAnsi="宋体"/>
          <w:sz w:val="24"/>
        </w:rPr>
      </w:pPr>
      <w:r>
        <w:rPr>
          <w:rFonts w:hint="eastAsia" w:ascii="宋体" w:hAnsi="宋体" w:cs="Courier New"/>
          <w:sz w:val="24"/>
          <w:lang w:eastAsia="zh-CN"/>
        </w:rPr>
        <w:t>制备站主站</w:t>
      </w:r>
      <w:r>
        <w:rPr>
          <w:rFonts w:hint="eastAsia" w:ascii="宋体" w:hAnsi="宋体"/>
          <w:sz w:val="24"/>
        </w:rPr>
        <w:t>：</w:t>
      </w:r>
    </w:p>
    <w:p>
      <w:pPr>
        <w:spacing w:line="360" w:lineRule="auto"/>
        <w:ind w:firstLine="480" w:firstLineChars="200"/>
        <w:jc w:val="left"/>
        <w:rPr>
          <w:rFonts w:hint="eastAsia" w:ascii="宋体" w:hAnsi="宋体" w:eastAsia="宋体"/>
          <w:sz w:val="24"/>
          <w:lang w:val="en-US" w:eastAsia="zh-CN"/>
        </w:rPr>
      </w:pPr>
      <w:r>
        <w:rPr>
          <w:rFonts w:hint="eastAsia" w:ascii="宋体" w:hAnsi="宋体"/>
          <w:sz w:val="24"/>
        </w:rPr>
        <w:t>安装一台控制主站，控制1</w:t>
      </w:r>
      <w:r>
        <w:rPr>
          <w:rFonts w:hint="eastAsia" w:ascii="宋体" w:hAnsi="宋体"/>
          <w:sz w:val="24"/>
          <w:lang w:val="en-US" w:eastAsia="zh-CN"/>
        </w:rPr>
        <w:t>4</w:t>
      </w:r>
      <w:r>
        <w:rPr>
          <w:rFonts w:hint="eastAsia" w:ascii="宋体" w:hAnsi="宋体"/>
          <w:sz w:val="24"/>
        </w:rPr>
        <w:t>台阀门、</w:t>
      </w:r>
      <w:r>
        <w:rPr>
          <w:rFonts w:hint="eastAsia" w:ascii="宋体" w:hAnsi="宋体"/>
          <w:sz w:val="24"/>
          <w:lang w:val="en-US" w:eastAsia="zh-CN"/>
        </w:rPr>
        <w:t>11</w:t>
      </w:r>
      <w:r>
        <w:rPr>
          <w:rFonts w:hint="eastAsia" w:ascii="宋体" w:hAnsi="宋体"/>
          <w:sz w:val="24"/>
        </w:rPr>
        <w:t>台</w:t>
      </w:r>
      <w:r>
        <w:rPr>
          <w:rFonts w:hint="eastAsia" w:ascii="宋体" w:hAnsi="宋体"/>
          <w:sz w:val="24"/>
          <w:lang w:eastAsia="zh-CN"/>
        </w:rPr>
        <w:t>电机</w:t>
      </w:r>
      <w:r>
        <w:rPr>
          <w:rFonts w:hint="eastAsia" w:ascii="宋体" w:hAnsi="宋体"/>
          <w:sz w:val="24"/>
        </w:rPr>
        <w:t>设备</w:t>
      </w:r>
      <w:r>
        <w:rPr>
          <w:rFonts w:hint="eastAsia" w:ascii="宋体" w:hAnsi="宋体"/>
          <w:sz w:val="24"/>
          <w:lang w:eastAsia="zh-CN"/>
        </w:rPr>
        <w:t>；</w:t>
      </w:r>
      <w:r>
        <w:rPr>
          <w:rFonts w:hint="eastAsia" w:ascii="宋体" w:hAnsi="宋体"/>
          <w:sz w:val="24"/>
        </w:rPr>
        <w:t>接入</w:t>
      </w:r>
      <w:r>
        <w:rPr>
          <w:rFonts w:hint="eastAsia" w:ascii="宋体" w:hAnsi="宋体"/>
          <w:sz w:val="24"/>
          <w:lang w:val="en-US" w:eastAsia="zh-CN"/>
        </w:rPr>
        <w:t>4</w:t>
      </w:r>
      <w:r>
        <w:rPr>
          <w:rFonts w:hint="eastAsia" w:ascii="宋体" w:hAnsi="宋体"/>
          <w:sz w:val="24"/>
        </w:rPr>
        <w:t>台压力传感器</w:t>
      </w: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rPr>
        <w:t>台</w:t>
      </w:r>
      <w:r>
        <w:rPr>
          <w:rFonts w:hint="eastAsia" w:ascii="宋体" w:hAnsi="宋体"/>
          <w:sz w:val="24"/>
          <w:lang w:val="en-US" w:eastAsia="zh-CN"/>
        </w:rPr>
        <w:t>料位传感器、5</w:t>
      </w:r>
      <w:r>
        <w:rPr>
          <w:rFonts w:hint="eastAsia" w:ascii="宋体" w:hAnsi="宋体"/>
          <w:sz w:val="24"/>
        </w:rPr>
        <w:t>台液位传感器</w:t>
      </w:r>
      <w:r>
        <w:rPr>
          <w:rFonts w:hint="eastAsia" w:ascii="宋体" w:hAnsi="宋体"/>
          <w:sz w:val="24"/>
          <w:lang w:eastAsia="zh-CN"/>
        </w:rPr>
        <w:t>、</w:t>
      </w:r>
      <w:r>
        <w:rPr>
          <w:rFonts w:hint="eastAsia" w:ascii="宋体" w:hAnsi="宋体"/>
          <w:sz w:val="24"/>
          <w:lang w:val="en-US" w:eastAsia="zh-CN"/>
        </w:rPr>
        <w:t>8</w:t>
      </w:r>
      <w:r>
        <w:rPr>
          <w:rFonts w:hint="eastAsia" w:ascii="宋体" w:hAnsi="宋体"/>
          <w:sz w:val="24"/>
        </w:rPr>
        <w:t>台</w:t>
      </w:r>
      <w:r>
        <w:rPr>
          <w:rFonts w:hint="eastAsia" w:ascii="宋体" w:hAnsi="宋体"/>
          <w:sz w:val="24"/>
          <w:lang w:eastAsia="zh-CN"/>
        </w:rPr>
        <w:t>流量</w:t>
      </w:r>
      <w:r>
        <w:rPr>
          <w:rFonts w:hint="eastAsia" w:ascii="宋体" w:hAnsi="宋体"/>
          <w:sz w:val="24"/>
        </w:rPr>
        <w:t>传感器</w:t>
      </w:r>
      <w:r>
        <w:rPr>
          <w:rFonts w:hint="eastAsia" w:ascii="宋体" w:hAnsi="宋体"/>
          <w:sz w:val="24"/>
          <w:lang w:eastAsia="zh-CN"/>
        </w:rPr>
        <w:t>、</w:t>
      </w:r>
      <w:r>
        <w:rPr>
          <w:rFonts w:hint="eastAsia" w:ascii="宋体" w:hAnsi="宋体"/>
          <w:sz w:val="24"/>
          <w:lang w:val="en-US" w:eastAsia="zh-CN"/>
        </w:rPr>
        <w:t>4台浓度传感器。</w:t>
      </w:r>
    </w:p>
    <w:p>
      <w:pPr>
        <w:spacing w:line="360" w:lineRule="auto"/>
        <w:ind w:left="1800" w:leftChars="400" w:hanging="960" w:hangingChars="400"/>
        <w:jc w:val="left"/>
        <w:rPr>
          <w:rFonts w:ascii="宋体" w:hAnsi="宋体"/>
          <w:sz w:val="24"/>
        </w:rPr>
      </w:pPr>
      <w:r>
        <w:rPr>
          <w:rFonts w:hint="eastAsia" w:ascii="宋体" w:hAnsi="宋体"/>
          <w:sz w:val="24"/>
        </w:rPr>
        <w:t>阀门：</w:t>
      </w:r>
    </w:p>
    <w:p>
      <w:pPr>
        <w:spacing w:line="360" w:lineRule="auto"/>
        <w:ind w:left="1800" w:leftChars="400" w:hanging="960" w:hangingChars="400"/>
        <w:jc w:val="left"/>
        <w:rPr>
          <w:rFonts w:hint="eastAsia" w:ascii="宋体" w:hAnsi="宋体"/>
          <w:sz w:val="24"/>
        </w:rPr>
      </w:pPr>
      <w:r>
        <w:rPr>
          <w:rFonts w:hint="eastAsia" w:ascii="宋体" w:hAnsi="宋体"/>
          <w:sz w:val="24"/>
        </w:rPr>
        <w:t>1、1#深锥出砂母管调节阀</w:t>
      </w:r>
    </w:p>
    <w:p>
      <w:pPr>
        <w:spacing w:line="360" w:lineRule="auto"/>
        <w:ind w:left="1800" w:leftChars="400" w:hanging="960" w:hangingChars="400"/>
        <w:jc w:val="left"/>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#深锥出砂母管调节阀</w:t>
      </w:r>
    </w:p>
    <w:p>
      <w:pPr>
        <w:spacing w:line="360" w:lineRule="auto"/>
        <w:ind w:left="1800" w:leftChars="400" w:hanging="960" w:hangingChars="400"/>
        <w:jc w:val="left"/>
        <w:rPr>
          <w:rFonts w:ascii="宋体" w:hAnsi="宋体"/>
          <w:sz w:val="24"/>
        </w:rPr>
      </w:pPr>
      <w:r>
        <w:rPr>
          <w:rFonts w:hint="eastAsia" w:ascii="宋体" w:hAnsi="宋体"/>
          <w:sz w:val="24"/>
        </w:rPr>
        <w:t>3、1#搅拌桶调浓水管道调节阀</w:t>
      </w:r>
    </w:p>
    <w:p>
      <w:pPr>
        <w:spacing w:line="360" w:lineRule="auto"/>
        <w:ind w:left="1800" w:leftChars="400" w:hanging="960" w:hangingChars="400"/>
        <w:jc w:val="left"/>
        <w:rPr>
          <w:rFonts w:ascii="宋体" w:hAnsi="宋体"/>
          <w:sz w:val="24"/>
        </w:rPr>
      </w:pPr>
      <w:r>
        <w:rPr>
          <w:rFonts w:hint="eastAsia" w:ascii="宋体" w:hAnsi="宋体"/>
          <w:sz w:val="24"/>
        </w:rPr>
        <w:t>4、</w:t>
      </w:r>
      <w:r>
        <w:rPr>
          <w:rFonts w:hint="eastAsia" w:ascii="宋体" w:hAnsi="宋体"/>
          <w:sz w:val="24"/>
          <w:lang w:val="en-US" w:eastAsia="zh-CN"/>
        </w:rPr>
        <w:t>2</w:t>
      </w:r>
      <w:r>
        <w:rPr>
          <w:rFonts w:hint="eastAsia" w:ascii="宋体" w:hAnsi="宋体"/>
          <w:sz w:val="24"/>
        </w:rPr>
        <w:t>#搅拌桶调浓水管道调节阀</w:t>
      </w:r>
    </w:p>
    <w:p>
      <w:pPr>
        <w:spacing w:line="360" w:lineRule="auto"/>
        <w:ind w:left="1800" w:leftChars="400" w:hanging="960" w:hangingChars="400"/>
        <w:jc w:val="left"/>
        <w:rPr>
          <w:rFonts w:ascii="宋体" w:hAnsi="宋体"/>
          <w:sz w:val="24"/>
        </w:rPr>
      </w:pPr>
      <w:r>
        <w:rPr>
          <w:rFonts w:hint="eastAsia" w:ascii="宋体" w:hAnsi="宋体"/>
          <w:sz w:val="24"/>
        </w:rPr>
        <w:t>5、1#充填泵冲洗水管道调节阀</w:t>
      </w:r>
    </w:p>
    <w:p>
      <w:pPr>
        <w:spacing w:line="360" w:lineRule="auto"/>
        <w:ind w:left="1800" w:leftChars="400" w:hanging="960" w:hangingChars="400"/>
        <w:jc w:val="left"/>
        <w:rPr>
          <w:rFonts w:ascii="宋体" w:hAnsi="宋体"/>
          <w:sz w:val="24"/>
        </w:rPr>
      </w:pPr>
      <w:r>
        <w:rPr>
          <w:rFonts w:hint="eastAsia" w:ascii="宋体" w:hAnsi="宋体"/>
          <w:sz w:val="24"/>
        </w:rPr>
        <w:t>6、</w:t>
      </w:r>
      <w:r>
        <w:rPr>
          <w:rFonts w:hint="eastAsia" w:ascii="宋体" w:hAnsi="宋体"/>
          <w:sz w:val="24"/>
          <w:lang w:val="en-US" w:eastAsia="zh-CN"/>
        </w:rPr>
        <w:t>2</w:t>
      </w:r>
      <w:r>
        <w:rPr>
          <w:rFonts w:hint="eastAsia" w:ascii="宋体" w:hAnsi="宋体"/>
          <w:sz w:val="24"/>
        </w:rPr>
        <w:t>#充填泵冲洗水管道调节阀</w:t>
      </w:r>
    </w:p>
    <w:p>
      <w:pPr>
        <w:spacing w:line="360" w:lineRule="auto"/>
        <w:ind w:left="1800" w:leftChars="400" w:hanging="960" w:hangingChars="400"/>
        <w:jc w:val="left"/>
        <w:rPr>
          <w:rFonts w:ascii="宋体" w:hAnsi="宋体"/>
          <w:sz w:val="24"/>
        </w:rPr>
      </w:pPr>
      <w:r>
        <w:rPr>
          <w:rFonts w:hint="eastAsia" w:ascii="宋体" w:hAnsi="宋体"/>
          <w:sz w:val="24"/>
        </w:rPr>
        <w:t>7、1#深锥至1#搅拌桶出砂管道开关阀</w:t>
      </w:r>
    </w:p>
    <w:p>
      <w:pPr>
        <w:spacing w:line="360" w:lineRule="auto"/>
        <w:ind w:left="1800" w:leftChars="400" w:hanging="960" w:hangingChars="400"/>
        <w:jc w:val="left"/>
        <w:rPr>
          <w:rFonts w:ascii="宋体" w:hAnsi="宋体"/>
          <w:sz w:val="24"/>
        </w:rPr>
      </w:pPr>
      <w:r>
        <w:rPr>
          <w:rFonts w:hint="eastAsia" w:ascii="宋体" w:hAnsi="宋体"/>
          <w:sz w:val="24"/>
        </w:rPr>
        <w:t>8、1#深锥至</w:t>
      </w:r>
      <w:r>
        <w:rPr>
          <w:rFonts w:hint="eastAsia" w:ascii="宋体" w:hAnsi="宋体"/>
          <w:sz w:val="24"/>
          <w:lang w:val="en-US" w:eastAsia="zh-CN"/>
        </w:rPr>
        <w:t>2</w:t>
      </w:r>
      <w:r>
        <w:rPr>
          <w:rFonts w:hint="eastAsia" w:ascii="宋体" w:hAnsi="宋体"/>
          <w:sz w:val="24"/>
        </w:rPr>
        <w:t>#搅拌桶出砂管道开关阀</w:t>
      </w:r>
    </w:p>
    <w:p>
      <w:pPr>
        <w:spacing w:line="360" w:lineRule="auto"/>
        <w:ind w:left="1800" w:leftChars="400" w:hanging="960" w:hangingChars="400"/>
        <w:jc w:val="left"/>
        <w:rPr>
          <w:rFonts w:ascii="宋体" w:hAnsi="宋体"/>
          <w:sz w:val="24"/>
        </w:rPr>
      </w:pPr>
      <w:r>
        <w:rPr>
          <w:rFonts w:hint="eastAsia" w:ascii="宋体" w:hAnsi="宋体"/>
          <w:sz w:val="24"/>
        </w:rPr>
        <w:t>9、2#深锥至1#搅拌桶出砂管道开关阀</w:t>
      </w:r>
    </w:p>
    <w:p>
      <w:pPr>
        <w:spacing w:line="360" w:lineRule="auto"/>
        <w:ind w:left="1800" w:leftChars="400" w:hanging="960" w:hangingChars="400"/>
        <w:jc w:val="left"/>
        <w:rPr>
          <w:rFonts w:ascii="宋体" w:hAnsi="宋体"/>
          <w:sz w:val="24"/>
        </w:rPr>
      </w:pPr>
      <w:r>
        <w:rPr>
          <w:rFonts w:hint="eastAsia" w:ascii="宋体" w:hAnsi="宋体"/>
          <w:sz w:val="24"/>
        </w:rPr>
        <w:t>10、2#深锥至</w:t>
      </w:r>
      <w:r>
        <w:rPr>
          <w:rFonts w:hint="eastAsia" w:ascii="宋体" w:hAnsi="宋体"/>
          <w:sz w:val="24"/>
          <w:lang w:val="en-US" w:eastAsia="zh-CN"/>
        </w:rPr>
        <w:t>2</w:t>
      </w:r>
      <w:r>
        <w:rPr>
          <w:rFonts w:hint="eastAsia" w:ascii="宋体" w:hAnsi="宋体"/>
          <w:sz w:val="24"/>
        </w:rPr>
        <w:t>#搅拌桶出砂管道开关阀</w:t>
      </w:r>
    </w:p>
    <w:p>
      <w:pPr>
        <w:spacing w:line="360" w:lineRule="auto"/>
        <w:ind w:left="1800" w:leftChars="400" w:hanging="960" w:hangingChars="400"/>
        <w:jc w:val="left"/>
        <w:rPr>
          <w:rFonts w:hint="eastAsia" w:ascii="宋体" w:hAnsi="宋体"/>
          <w:sz w:val="24"/>
        </w:rPr>
      </w:pPr>
      <w:r>
        <w:rPr>
          <w:rFonts w:hint="eastAsia" w:ascii="宋体" w:hAnsi="宋体"/>
          <w:sz w:val="24"/>
        </w:rPr>
        <w:t>11、1#管道泵入口管道开关阀</w:t>
      </w:r>
    </w:p>
    <w:p>
      <w:pPr>
        <w:spacing w:line="360" w:lineRule="auto"/>
        <w:ind w:left="1800" w:leftChars="400" w:hanging="960" w:hangingChars="400"/>
        <w:jc w:val="left"/>
        <w:rPr>
          <w:rFonts w:hint="eastAsia" w:ascii="宋体" w:hAnsi="宋体"/>
          <w:sz w:val="24"/>
        </w:rPr>
      </w:pPr>
      <w:r>
        <w:rPr>
          <w:rFonts w:hint="eastAsia" w:ascii="宋体" w:hAnsi="宋体"/>
          <w:sz w:val="24"/>
        </w:rPr>
        <w:t>1</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2</w:t>
      </w:r>
      <w:r>
        <w:rPr>
          <w:rFonts w:hint="eastAsia" w:ascii="宋体" w:hAnsi="宋体"/>
          <w:sz w:val="24"/>
        </w:rPr>
        <w:t>#管道泵入口管道开关阀</w:t>
      </w:r>
    </w:p>
    <w:p>
      <w:pPr>
        <w:spacing w:line="360" w:lineRule="auto"/>
        <w:ind w:left="1800" w:leftChars="400" w:hanging="960" w:hangingChars="400"/>
        <w:jc w:val="left"/>
        <w:rPr>
          <w:rFonts w:hint="eastAsia" w:ascii="宋体" w:hAnsi="宋体"/>
          <w:sz w:val="24"/>
          <w:lang w:val="en-US" w:eastAsia="zh-CN"/>
        </w:rPr>
      </w:pPr>
      <w:r>
        <w:rPr>
          <w:rFonts w:hint="eastAsia" w:ascii="宋体" w:hAnsi="宋体"/>
          <w:sz w:val="24"/>
          <w:lang w:val="en-US" w:eastAsia="zh-CN"/>
        </w:rPr>
        <w:t>13、1#管道泵出口管道开关阀</w:t>
      </w:r>
    </w:p>
    <w:p>
      <w:pPr>
        <w:spacing w:line="360" w:lineRule="auto"/>
        <w:ind w:left="1800" w:leftChars="400" w:hanging="960" w:hangingChars="400"/>
        <w:jc w:val="left"/>
        <w:rPr>
          <w:rFonts w:hint="eastAsia" w:ascii="宋体" w:hAnsi="宋体"/>
          <w:sz w:val="24"/>
        </w:rPr>
      </w:pPr>
      <w:r>
        <w:rPr>
          <w:rFonts w:hint="eastAsia" w:ascii="宋体" w:hAnsi="宋体"/>
          <w:sz w:val="24"/>
          <w:lang w:val="en-US" w:eastAsia="zh-CN"/>
        </w:rPr>
        <w:t>14、2#管道泵出口管道开关阀</w:t>
      </w:r>
    </w:p>
    <w:p>
      <w:pPr>
        <w:spacing w:line="360" w:lineRule="auto"/>
        <w:ind w:left="1800" w:leftChars="400" w:hanging="960" w:hangingChars="400"/>
        <w:jc w:val="left"/>
        <w:rPr>
          <w:rFonts w:ascii="宋体" w:hAnsi="宋体"/>
          <w:sz w:val="24"/>
        </w:rPr>
      </w:pPr>
      <w:r>
        <w:rPr>
          <w:rFonts w:hint="eastAsia" w:ascii="宋体" w:hAnsi="宋体"/>
          <w:sz w:val="24"/>
        </w:rPr>
        <w:t>电机设备：</w:t>
      </w:r>
    </w:p>
    <w:p>
      <w:pPr>
        <w:spacing w:line="360" w:lineRule="auto"/>
        <w:ind w:left="1800" w:leftChars="400" w:hanging="960" w:hangingChars="400"/>
        <w:jc w:val="left"/>
        <w:rPr>
          <w:rFonts w:ascii="宋体" w:hAnsi="宋体"/>
          <w:sz w:val="24"/>
        </w:rPr>
      </w:pPr>
      <w:r>
        <w:rPr>
          <w:rFonts w:hint="eastAsia" w:ascii="宋体" w:hAnsi="宋体"/>
          <w:sz w:val="24"/>
        </w:rPr>
        <w:t>1、1号移动式排水泵</w:t>
      </w:r>
    </w:p>
    <w:p>
      <w:pPr>
        <w:spacing w:line="360" w:lineRule="auto"/>
        <w:ind w:left="1800" w:leftChars="400" w:hanging="960" w:hangingChars="400"/>
        <w:jc w:val="left"/>
        <w:rPr>
          <w:rFonts w:hint="eastAsia" w:ascii="宋体" w:hAnsi="宋体"/>
          <w:sz w:val="24"/>
        </w:rPr>
      </w:pPr>
      <w:r>
        <w:rPr>
          <w:rFonts w:hint="eastAsia" w:ascii="宋体" w:hAnsi="宋体"/>
          <w:sz w:val="24"/>
        </w:rPr>
        <w:t>2、2号移动式排水泵</w:t>
      </w:r>
    </w:p>
    <w:p>
      <w:pPr>
        <w:spacing w:line="360" w:lineRule="auto"/>
        <w:ind w:left="1800" w:leftChars="400" w:hanging="960" w:hangingChars="400"/>
        <w:jc w:val="left"/>
        <w:rPr>
          <w:rFonts w:ascii="宋体" w:hAnsi="宋体"/>
          <w:sz w:val="24"/>
        </w:rPr>
      </w:pPr>
      <w:r>
        <w:rPr>
          <w:rFonts w:hint="eastAsia" w:ascii="宋体" w:hAnsi="宋体"/>
          <w:sz w:val="24"/>
        </w:rPr>
        <w:t>3、</w:t>
      </w:r>
      <w:r>
        <w:rPr>
          <w:rFonts w:hint="eastAsia" w:ascii="宋体" w:hAnsi="宋体"/>
          <w:sz w:val="24"/>
          <w:lang w:val="en-US" w:eastAsia="zh-CN"/>
        </w:rPr>
        <w:t>3</w:t>
      </w:r>
      <w:r>
        <w:rPr>
          <w:rFonts w:hint="eastAsia" w:ascii="宋体" w:hAnsi="宋体"/>
          <w:sz w:val="24"/>
        </w:rPr>
        <w:t>号移动式排水泵</w:t>
      </w:r>
    </w:p>
    <w:p>
      <w:pPr>
        <w:spacing w:line="360" w:lineRule="auto"/>
        <w:ind w:left="1800" w:leftChars="400" w:hanging="960" w:hangingChars="400"/>
        <w:jc w:val="left"/>
        <w:rPr>
          <w:rFonts w:ascii="宋体" w:hAnsi="宋体"/>
          <w:sz w:val="24"/>
        </w:rPr>
      </w:pPr>
      <w:r>
        <w:rPr>
          <w:rFonts w:hint="eastAsia" w:ascii="宋体" w:hAnsi="宋体"/>
          <w:sz w:val="24"/>
        </w:rPr>
        <w:t>4、1#管式螺旋给料机控制柜</w:t>
      </w:r>
    </w:p>
    <w:p>
      <w:pPr>
        <w:spacing w:line="360" w:lineRule="auto"/>
        <w:ind w:left="1800" w:leftChars="400" w:hanging="960" w:hangingChars="400"/>
        <w:jc w:val="left"/>
        <w:rPr>
          <w:rFonts w:ascii="宋体" w:hAnsi="宋体"/>
          <w:sz w:val="24"/>
        </w:rPr>
      </w:pPr>
      <w:r>
        <w:rPr>
          <w:rFonts w:hint="eastAsia" w:ascii="宋体" w:hAnsi="宋体"/>
          <w:sz w:val="24"/>
        </w:rPr>
        <w:t>5、</w:t>
      </w:r>
      <w:r>
        <w:rPr>
          <w:rFonts w:hint="eastAsia" w:ascii="宋体" w:hAnsi="宋体"/>
          <w:sz w:val="24"/>
          <w:lang w:val="en-US" w:eastAsia="zh-CN"/>
        </w:rPr>
        <w:t>2</w:t>
      </w:r>
      <w:r>
        <w:rPr>
          <w:rFonts w:hint="eastAsia" w:ascii="宋体" w:hAnsi="宋体"/>
          <w:sz w:val="24"/>
        </w:rPr>
        <w:t>#管式螺旋给料机控制柜</w:t>
      </w:r>
    </w:p>
    <w:p>
      <w:pPr>
        <w:spacing w:line="360" w:lineRule="auto"/>
        <w:ind w:left="1800" w:leftChars="400" w:hanging="960" w:hangingChars="400"/>
        <w:jc w:val="left"/>
        <w:rPr>
          <w:rFonts w:hint="eastAsia" w:ascii="宋体" w:hAnsi="宋体"/>
          <w:sz w:val="24"/>
        </w:rPr>
      </w:pPr>
      <w:r>
        <w:rPr>
          <w:rFonts w:hint="eastAsia" w:ascii="宋体" w:hAnsi="宋体"/>
          <w:sz w:val="24"/>
        </w:rPr>
        <w:t>6、1号仓顶布袋除尘器</w:t>
      </w:r>
    </w:p>
    <w:p>
      <w:pPr>
        <w:spacing w:line="360" w:lineRule="auto"/>
        <w:ind w:left="1800" w:leftChars="400" w:hanging="960" w:hangingChars="400"/>
        <w:jc w:val="left"/>
        <w:rPr>
          <w:rFonts w:ascii="宋体" w:hAnsi="宋体"/>
          <w:sz w:val="24"/>
        </w:rPr>
      </w:pPr>
      <w:r>
        <w:rPr>
          <w:rFonts w:hint="eastAsia" w:ascii="宋体" w:hAnsi="宋体"/>
          <w:sz w:val="24"/>
        </w:rPr>
        <w:t>7、</w:t>
      </w:r>
      <w:r>
        <w:rPr>
          <w:rFonts w:hint="eastAsia" w:ascii="宋体" w:hAnsi="宋体"/>
          <w:sz w:val="24"/>
          <w:lang w:val="en-US" w:eastAsia="zh-CN"/>
        </w:rPr>
        <w:t>2</w:t>
      </w:r>
      <w:r>
        <w:rPr>
          <w:rFonts w:hint="eastAsia" w:ascii="宋体" w:hAnsi="宋体"/>
          <w:sz w:val="24"/>
        </w:rPr>
        <w:t>号仓顶布袋除尘器</w:t>
      </w:r>
    </w:p>
    <w:p>
      <w:pPr>
        <w:spacing w:line="360" w:lineRule="auto"/>
        <w:ind w:left="1800" w:leftChars="400" w:hanging="960" w:hangingChars="400"/>
        <w:jc w:val="left"/>
        <w:rPr>
          <w:rFonts w:hint="eastAsia" w:ascii="宋体" w:hAnsi="宋体"/>
          <w:sz w:val="24"/>
        </w:rPr>
      </w:pPr>
      <w:r>
        <w:rPr>
          <w:rFonts w:hint="eastAsia" w:ascii="宋体" w:hAnsi="宋体"/>
          <w:sz w:val="24"/>
        </w:rPr>
        <w:t>8、1号搅拌桶除尘器</w:t>
      </w:r>
    </w:p>
    <w:p>
      <w:pPr>
        <w:spacing w:line="360" w:lineRule="auto"/>
        <w:ind w:left="1800" w:leftChars="400" w:hanging="960" w:hangingChars="400"/>
        <w:jc w:val="left"/>
        <w:rPr>
          <w:rFonts w:hint="eastAsia" w:ascii="宋体" w:hAnsi="宋体"/>
          <w:sz w:val="24"/>
        </w:rPr>
      </w:pPr>
      <w:r>
        <w:rPr>
          <w:rFonts w:hint="eastAsia" w:ascii="宋体" w:hAnsi="宋体"/>
          <w:sz w:val="24"/>
        </w:rPr>
        <w:t>9、2号搅拌桶除尘器</w:t>
      </w:r>
    </w:p>
    <w:p>
      <w:pPr>
        <w:spacing w:line="360" w:lineRule="auto"/>
        <w:ind w:left="1800" w:leftChars="400" w:hanging="960" w:hangingChars="400"/>
        <w:jc w:val="left"/>
        <w:rPr>
          <w:rFonts w:hint="eastAsia" w:ascii="宋体" w:hAnsi="宋体"/>
          <w:sz w:val="24"/>
        </w:rPr>
      </w:pPr>
      <w:r>
        <w:rPr>
          <w:rFonts w:hint="eastAsia" w:ascii="宋体" w:hAnsi="宋体"/>
          <w:sz w:val="24"/>
        </w:rPr>
        <w:t>10、1#变频电机冷却风机</w:t>
      </w:r>
    </w:p>
    <w:p>
      <w:pPr>
        <w:spacing w:line="360" w:lineRule="auto"/>
        <w:ind w:left="1800" w:leftChars="400" w:hanging="960" w:hangingChars="400"/>
        <w:jc w:val="left"/>
        <w:rPr>
          <w:rFonts w:hint="eastAsia" w:ascii="宋体" w:hAnsi="宋体"/>
          <w:sz w:val="24"/>
        </w:rPr>
      </w:pPr>
      <w:r>
        <w:rPr>
          <w:rFonts w:hint="eastAsia" w:ascii="宋体" w:hAnsi="宋体"/>
          <w:sz w:val="24"/>
        </w:rPr>
        <w:t>11、</w:t>
      </w:r>
      <w:r>
        <w:rPr>
          <w:rFonts w:hint="eastAsia" w:ascii="宋体" w:hAnsi="宋体"/>
          <w:sz w:val="24"/>
          <w:lang w:val="en-US" w:eastAsia="zh-CN"/>
        </w:rPr>
        <w:t>2</w:t>
      </w:r>
      <w:r>
        <w:rPr>
          <w:rFonts w:hint="eastAsia" w:ascii="宋体" w:hAnsi="宋体"/>
          <w:sz w:val="24"/>
        </w:rPr>
        <w:t>#变频电机冷却风机</w:t>
      </w:r>
    </w:p>
    <w:p>
      <w:pPr>
        <w:spacing w:line="360" w:lineRule="auto"/>
        <w:ind w:left="1800" w:leftChars="400" w:hanging="960" w:hangingChars="400"/>
        <w:jc w:val="left"/>
        <w:rPr>
          <w:rFonts w:ascii="宋体" w:hAnsi="宋体"/>
          <w:sz w:val="24"/>
        </w:rPr>
      </w:pPr>
      <w:r>
        <w:rPr>
          <w:rFonts w:hint="eastAsia" w:ascii="宋体" w:hAnsi="宋体"/>
          <w:sz w:val="24"/>
        </w:rPr>
        <w:t>传感器：</w:t>
      </w:r>
    </w:p>
    <w:p>
      <w:pPr>
        <w:spacing w:line="360" w:lineRule="auto"/>
        <w:ind w:left="1800" w:leftChars="400" w:hanging="960" w:hangingChars="400"/>
        <w:jc w:val="left"/>
        <w:rPr>
          <w:rFonts w:hint="eastAsia" w:ascii="宋体" w:hAnsi="宋体"/>
          <w:sz w:val="24"/>
        </w:rPr>
      </w:pPr>
      <w:r>
        <w:rPr>
          <w:rFonts w:hint="eastAsia" w:ascii="宋体" w:hAnsi="宋体"/>
          <w:sz w:val="24"/>
          <w:lang w:val="en-US" w:eastAsia="zh-CN"/>
        </w:rPr>
        <w:t>1、</w:t>
      </w:r>
      <w:r>
        <w:rPr>
          <w:rFonts w:hint="eastAsia" w:ascii="宋体" w:hAnsi="宋体"/>
          <w:sz w:val="24"/>
        </w:rPr>
        <w:t>1#方储气罐出口压缩空气压力</w:t>
      </w:r>
    </w:p>
    <w:p>
      <w:pPr>
        <w:spacing w:line="360" w:lineRule="auto"/>
        <w:ind w:left="1800" w:leftChars="400" w:hanging="960" w:hangingChars="400"/>
        <w:jc w:val="left"/>
        <w:rPr>
          <w:rFonts w:ascii="宋体" w:hAnsi="宋体"/>
          <w:sz w:val="24"/>
        </w:rPr>
      </w:pPr>
      <w:r>
        <w:rPr>
          <w:rFonts w:hint="eastAsia" w:ascii="宋体" w:hAnsi="宋体"/>
          <w:sz w:val="24"/>
          <w:lang w:val="en-US" w:eastAsia="zh-CN"/>
        </w:rPr>
        <w:t>2、2</w:t>
      </w:r>
      <w:r>
        <w:rPr>
          <w:rFonts w:hint="eastAsia" w:ascii="宋体" w:hAnsi="宋体"/>
          <w:sz w:val="24"/>
        </w:rPr>
        <w:t>#方储气罐出口压缩空气压力</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3、</w:t>
      </w:r>
      <w:r>
        <w:rPr>
          <w:rFonts w:hint="eastAsia" w:ascii="宋体" w:hAnsi="宋体"/>
          <w:sz w:val="24"/>
        </w:rPr>
        <w:t>1#充填泵出口管道压力</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4、2#充填泵出口管道压力</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5、1#水泥仓料位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6、2#水泥仓料位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7、1#搅拌桶液位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8、2#搅拌桶液位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9、1#充填泵事故池液位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10、2#充填泵事故池液位</w:t>
      </w:r>
    </w:p>
    <w:p>
      <w:pPr>
        <w:numPr>
          <w:ilvl w:val="0"/>
          <w:numId w:val="0"/>
        </w:numPr>
        <w:spacing w:line="360" w:lineRule="auto"/>
        <w:ind w:left="840" w:leftChars="0"/>
        <w:jc w:val="left"/>
        <w:rPr>
          <w:rFonts w:hint="eastAsia" w:ascii="宋体" w:hAnsi="宋体"/>
          <w:sz w:val="24"/>
          <w:lang w:val="en-US" w:eastAsia="zh-CN"/>
        </w:rPr>
      </w:pPr>
      <w:r>
        <w:rPr>
          <w:rFonts w:hint="eastAsia" w:ascii="宋体" w:hAnsi="宋体"/>
          <w:sz w:val="24"/>
          <w:lang w:val="en-US" w:eastAsia="zh-CN"/>
        </w:rPr>
        <w:t>11、充填厂房室外事故池液位</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12、</w:t>
      </w:r>
      <w:r>
        <w:rPr>
          <w:rFonts w:hint="eastAsia" w:ascii="宋体" w:hAnsi="宋体"/>
          <w:sz w:val="24"/>
        </w:rPr>
        <w:t>1#搅拌桶入口调浓水流量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13、</w:t>
      </w:r>
      <w:r>
        <w:rPr>
          <w:rFonts w:hint="eastAsia" w:ascii="宋体" w:hAnsi="宋体"/>
          <w:sz w:val="24"/>
        </w:rPr>
        <w:t>2#搅拌桶入口调浓水流量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14、</w:t>
      </w:r>
      <w:r>
        <w:rPr>
          <w:rFonts w:hint="eastAsia" w:ascii="宋体" w:hAnsi="宋体"/>
          <w:sz w:val="24"/>
        </w:rPr>
        <w:t>1#充填泵冲洗水流量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15、</w:t>
      </w:r>
      <w:r>
        <w:rPr>
          <w:rFonts w:hint="eastAsia" w:ascii="宋体" w:hAnsi="宋体"/>
          <w:sz w:val="24"/>
        </w:rPr>
        <w:t>2#充填泵冲洗水流量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16、</w:t>
      </w:r>
      <w:r>
        <w:rPr>
          <w:rFonts w:hint="eastAsia" w:ascii="宋体" w:hAnsi="宋体"/>
          <w:sz w:val="24"/>
        </w:rPr>
        <w:t>1#搅拌桶出口砂浆流量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17、2</w:t>
      </w:r>
      <w:r>
        <w:rPr>
          <w:rFonts w:hint="eastAsia" w:ascii="宋体" w:hAnsi="宋体"/>
          <w:sz w:val="24"/>
        </w:rPr>
        <w:t>#搅拌桶出口砂浆流量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18、</w:t>
      </w:r>
      <w:r>
        <w:rPr>
          <w:rFonts w:hint="eastAsia" w:ascii="宋体" w:hAnsi="宋体"/>
          <w:sz w:val="24"/>
        </w:rPr>
        <w:t>1#搅拌桶出口砂浆浓度</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19、2</w:t>
      </w:r>
      <w:r>
        <w:rPr>
          <w:rFonts w:hint="eastAsia" w:ascii="宋体" w:hAnsi="宋体"/>
          <w:sz w:val="24"/>
        </w:rPr>
        <w:t>#搅拌桶出口砂浆浓度</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20、</w:t>
      </w:r>
      <w:r>
        <w:rPr>
          <w:rFonts w:hint="eastAsia" w:ascii="宋体" w:hAnsi="宋体"/>
          <w:sz w:val="24"/>
        </w:rPr>
        <w:t>1#深锥浓密机入口选厂尾砂浆流量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21、2</w:t>
      </w:r>
      <w:r>
        <w:rPr>
          <w:rFonts w:hint="eastAsia" w:ascii="宋体" w:hAnsi="宋体"/>
          <w:sz w:val="24"/>
        </w:rPr>
        <w:t>#深锥浓密机入口选厂尾砂浆流量</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22、</w:t>
      </w:r>
      <w:r>
        <w:rPr>
          <w:rFonts w:hint="eastAsia" w:ascii="宋体" w:hAnsi="宋体"/>
          <w:sz w:val="24"/>
        </w:rPr>
        <w:t>1#深锥浓密机入口选厂尾砂浆浓度</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23、2</w:t>
      </w:r>
      <w:r>
        <w:rPr>
          <w:rFonts w:hint="eastAsia" w:ascii="宋体" w:hAnsi="宋体"/>
          <w:sz w:val="24"/>
        </w:rPr>
        <w:t>#深锥浓密机入口选厂尾砂浆浓度</w:t>
      </w:r>
    </w:p>
    <w:p>
      <w:pPr>
        <w:pStyle w:val="376"/>
        <w:numPr>
          <w:ilvl w:val="0"/>
          <w:numId w:val="9"/>
        </w:numPr>
        <w:spacing w:line="360" w:lineRule="auto"/>
        <w:ind w:firstLineChars="0"/>
        <w:jc w:val="left"/>
        <w:rPr>
          <w:rFonts w:ascii="宋体" w:hAnsi="宋体"/>
          <w:sz w:val="24"/>
        </w:rPr>
      </w:pPr>
      <w:r>
        <w:rPr>
          <w:rFonts w:hint="eastAsia" w:ascii="宋体" w:hAnsi="宋体" w:cs="Courier New"/>
          <w:sz w:val="24"/>
        </w:rPr>
        <w:t>回水泵房和配电室</w:t>
      </w:r>
      <w:r>
        <w:rPr>
          <w:rFonts w:hint="eastAsia" w:ascii="宋体" w:hAnsi="宋体" w:cs="Courier New"/>
          <w:sz w:val="24"/>
          <w:lang w:eastAsia="zh-CN"/>
        </w:rPr>
        <w:t>控制分站</w:t>
      </w:r>
      <w:r>
        <w:rPr>
          <w:rFonts w:hint="eastAsia" w:ascii="宋体" w:hAnsi="宋体"/>
          <w:sz w:val="24"/>
        </w:rPr>
        <w:t>：</w:t>
      </w:r>
    </w:p>
    <w:p>
      <w:pPr>
        <w:spacing w:line="360" w:lineRule="auto"/>
        <w:ind w:firstLine="480" w:firstLineChars="200"/>
        <w:jc w:val="left"/>
        <w:rPr>
          <w:rFonts w:hint="eastAsia" w:ascii="宋体" w:hAnsi="宋体" w:eastAsia="宋体"/>
          <w:sz w:val="24"/>
          <w:lang w:eastAsia="zh-CN"/>
        </w:rPr>
      </w:pPr>
      <w:r>
        <w:rPr>
          <w:rFonts w:hint="eastAsia" w:ascii="宋体" w:hAnsi="宋体"/>
          <w:sz w:val="24"/>
        </w:rPr>
        <w:t>安装一台控制分站，控制1台阀门、</w:t>
      </w:r>
      <w:r>
        <w:rPr>
          <w:rFonts w:hint="eastAsia" w:ascii="宋体" w:hAnsi="宋体"/>
          <w:sz w:val="24"/>
          <w:lang w:val="en-US" w:eastAsia="zh-CN"/>
        </w:rPr>
        <w:t>12</w:t>
      </w:r>
      <w:r>
        <w:rPr>
          <w:rFonts w:hint="eastAsia" w:ascii="宋体" w:hAnsi="宋体"/>
          <w:sz w:val="24"/>
        </w:rPr>
        <w:t>台</w:t>
      </w:r>
      <w:r>
        <w:rPr>
          <w:rFonts w:hint="eastAsia" w:ascii="宋体" w:hAnsi="宋体"/>
          <w:sz w:val="24"/>
          <w:lang w:eastAsia="zh-CN"/>
        </w:rPr>
        <w:t>电机</w:t>
      </w:r>
      <w:r>
        <w:rPr>
          <w:rFonts w:hint="eastAsia" w:ascii="宋体" w:hAnsi="宋体"/>
          <w:sz w:val="24"/>
        </w:rPr>
        <w:t>设备</w:t>
      </w:r>
      <w:r>
        <w:rPr>
          <w:rFonts w:hint="eastAsia" w:ascii="宋体" w:hAnsi="宋体"/>
          <w:sz w:val="24"/>
          <w:lang w:eastAsia="zh-CN"/>
        </w:rPr>
        <w:t>；</w:t>
      </w:r>
      <w:r>
        <w:rPr>
          <w:rFonts w:hint="eastAsia" w:ascii="宋体" w:hAnsi="宋体"/>
          <w:sz w:val="24"/>
        </w:rPr>
        <w:t>接入</w:t>
      </w:r>
      <w:r>
        <w:rPr>
          <w:rFonts w:hint="eastAsia" w:ascii="宋体" w:hAnsi="宋体"/>
          <w:sz w:val="24"/>
          <w:lang w:val="en-US" w:eastAsia="zh-CN"/>
        </w:rPr>
        <w:t>2</w:t>
      </w:r>
      <w:r>
        <w:rPr>
          <w:rFonts w:hint="eastAsia" w:ascii="宋体" w:hAnsi="宋体"/>
          <w:sz w:val="24"/>
        </w:rPr>
        <w:t>台压力传感器</w:t>
      </w: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rPr>
        <w:t>台液位传感器</w:t>
      </w: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rPr>
        <w:t>台</w:t>
      </w:r>
      <w:r>
        <w:rPr>
          <w:rFonts w:hint="eastAsia" w:ascii="宋体" w:hAnsi="宋体"/>
          <w:sz w:val="24"/>
          <w:lang w:eastAsia="zh-CN"/>
        </w:rPr>
        <w:t>流量</w:t>
      </w:r>
      <w:r>
        <w:rPr>
          <w:rFonts w:hint="eastAsia" w:ascii="宋体" w:hAnsi="宋体"/>
          <w:sz w:val="24"/>
        </w:rPr>
        <w:t>传感器</w:t>
      </w:r>
      <w:r>
        <w:rPr>
          <w:rFonts w:hint="eastAsia" w:ascii="宋体" w:hAnsi="宋体"/>
          <w:sz w:val="24"/>
          <w:lang w:eastAsia="zh-CN"/>
        </w:rPr>
        <w:t>。</w:t>
      </w:r>
    </w:p>
    <w:p>
      <w:pPr>
        <w:spacing w:line="360" w:lineRule="auto"/>
        <w:ind w:left="1800" w:leftChars="400" w:hanging="960" w:hangingChars="400"/>
        <w:jc w:val="left"/>
        <w:rPr>
          <w:rFonts w:ascii="宋体" w:hAnsi="宋体"/>
          <w:sz w:val="24"/>
        </w:rPr>
      </w:pPr>
      <w:r>
        <w:rPr>
          <w:rFonts w:hint="eastAsia" w:ascii="宋体" w:hAnsi="宋体"/>
          <w:sz w:val="24"/>
        </w:rPr>
        <w:t>阀门：</w:t>
      </w:r>
    </w:p>
    <w:p>
      <w:pPr>
        <w:numPr>
          <w:ilvl w:val="0"/>
          <w:numId w:val="10"/>
        </w:numPr>
        <w:spacing w:line="360" w:lineRule="auto"/>
        <w:ind w:left="1800" w:leftChars="400" w:hanging="960" w:hangingChars="400"/>
        <w:jc w:val="left"/>
        <w:rPr>
          <w:rFonts w:hint="eastAsia" w:ascii="宋体" w:hAnsi="宋体"/>
          <w:sz w:val="24"/>
        </w:rPr>
      </w:pPr>
      <w:r>
        <w:rPr>
          <w:rFonts w:hint="eastAsia" w:ascii="宋体" w:hAnsi="宋体"/>
          <w:sz w:val="24"/>
        </w:rPr>
        <w:t>储水池回水管道进水口阀</w:t>
      </w:r>
    </w:p>
    <w:p>
      <w:pPr>
        <w:spacing w:line="360" w:lineRule="auto"/>
        <w:ind w:left="1800" w:leftChars="400" w:hanging="960" w:hangingChars="400"/>
        <w:jc w:val="left"/>
        <w:rPr>
          <w:rFonts w:ascii="宋体" w:hAnsi="宋体"/>
          <w:sz w:val="24"/>
        </w:rPr>
      </w:pPr>
      <w:r>
        <w:rPr>
          <w:rFonts w:hint="eastAsia" w:ascii="宋体" w:hAnsi="宋体"/>
          <w:sz w:val="24"/>
        </w:rPr>
        <w:t>电机设备：</w:t>
      </w:r>
    </w:p>
    <w:p>
      <w:pPr>
        <w:spacing w:line="360" w:lineRule="auto"/>
        <w:ind w:left="1800" w:leftChars="400" w:hanging="960" w:hangingChars="400"/>
        <w:jc w:val="left"/>
        <w:rPr>
          <w:rFonts w:ascii="宋体" w:hAnsi="宋体"/>
          <w:sz w:val="24"/>
        </w:rPr>
      </w:pPr>
      <w:r>
        <w:rPr>
          <w:rFonts w:hint="eastAsia" w:ascii="宋体" w:hAnsi="宋体"/>
          <w:sz w:val="24"/>
        </w:rPr>
        <w:t>1、1#搅拌机</w:t>
      </w:r>
    </w:p>
    <w:p>
      <w:pPr>
        <w:spacing w:line="360" w:lineRule="auto"/>
        <w:ind w:left="1800" w:leftChars="400" w:hanging="960" w:hangingChars="400"/>
        <w:jc w:val="left"/>
        <w:rPr>
          <w:rFonts w:hint="eastAsia"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#搅拌机</w:t>
      </w:r>
    </w:p>
    <w:p>
      <w:pPr>
        <w:spacing w:line="360" w:lineRule="auto"/>
        <w:ind w:left="1800" w:leftChars="400" w:hanging="960" w:hangingChars="400"/>
        <w:jc w:val="left"/>
        <w:rPr>
          <w:rFonts w:ascii="宋体" w:hAnsi="宋体"/>
          <w:sz w:val="24"/>
        </w:rPr>
      </w:pPr>
      <w:r>
        <w:rPr>
          <w:rFonts w:hint="eastAsia" w:ascii="宋体" w:hAnsi="宋体"/>
          <w:sz w:val="24"/>
        </w:rPr>
        <w:t>3、</w:t>
      </w:r>
      <w:r>
        <w:rPr>
          <w:rFonts w:hint="eastAsia" w:ascii="宋体" w:hAnsi="宋体"/>
          <w:sz w:val="24"/>
          <w:lang w:val="en-US" w:eastAsia="zh-CN"/>
        </w:rPr>
        <w:t>1#清水泵</w:t>
      </w:r>
    </w:p>
    <w:p>
      <w:pPr>
        <w:spacing w:line="360" w:lineRule="auto"/>
        <w:ind w:left="1800" w:leftChars="400" w:hanging="960" w:hangingChars="400"/>
        <w:jc w:val="left"/>
        <w:rPr>
          <w:rFonts w:ascii="宋体" w:hAnsi="宋体"/>
          <w:sz w:val="24"/>
        </w:rPr>
      </w:pPr>
      <w:r>
        <w:rPr>
          <w:rFonts w:hint="eastAsia" w:ascii="宋体" w:hAnsi="宋体"/>
          <w:sz w:val="24"/>
        </w:rPr>
        <w:t>4、1#回水泵</w:t>
      </w:r>
    </w:p>
    <w:p>
      <w:pPr>
        <w:spacing w:line="360" w:lineRule="auto"/>
        <w:ind w:left="1800" w:leftChars="400" w:hanging="960" w:hangingChars="400"/>
        <w:jc w:val="left"/>
        <w:rPr>
          <w:rFonts w:ascii="宋体" w:hAnsi="宋体"/>
          <w:sz w:val="24"/>
        </w:rPr>
      </w:pPr>
      <w:r>
        <w:rPr>
          <w:rFonts w:hint="eastAsia" w:ascii="宋体" w:hAnsi="宋体"/>
          <w:sz w:val="24"/>
        </w:rPr>
        <w:t>5、</w:t>
      </w:r>
      <w:r>
        <w:rPr>
          <w:rFonts w:hint="eastAsia" w:ascii="宋体" w:hAnsi="宋体"/>
          <w:sz w:val="24"/>
          <w:lang w:val="en-US" w:eastAsia="zh-CN"/>
        </w:rPr>
        <w:t>1#管道加压泵</w:t>
      </w:r>
    </w:p>
    <w:p>
      <w:pPr>
        <w:spacing w:line="360" w:lineRule="auto"/>
        <w:ind w:left="1800" w:leftChars="400" w:hanging="960" w:hangingChars="400"/>
        <w:jc w:val="left"/>
        <w:rPr>
          <w:rFonts w:hint="eastAsia" w:ascii="宋体" w:hAnsi="宋体"/>
          <w:sz w:val="24"/>
        </w:rPr>
      </w:pPr>
      <w:r>
        <w:rPr>
          <w:rFonts w:hint="eastAsia" w:ascii="宋体" w:hAnsi="宋体"/>
          <w:sz w:val="24"/>
        </w:rPr>
        <w:t>6、2#清水泵</w:t>
      </w:r>
    </w:p>
    <w:p>
      <w:pPr>
        <w:spacing w:line="360" w:lineRule="auto"/>
        <w:ind w:left="1800" w:leftChars="400" w:hanging="960" w:hangingChars="400"/>
        <w:jc w:val="left"/>
        <w:rPr>
          <w:rFonts w:ascii="宋体" w:hAnsi="宋体"/>
          <w:sz w:val="24"/>
        </w:rPr>
      </w:pPr>
      <w:r>
        <w:rPr>
          <w:rFonts w:hint="eastAsia" w:ascii="宋体" w:hAnsi="宋体"/>
          <w:sz w:val="24"/>
        </w:rPr>
        <w:t>7、</w:t>
      </w:r>
      <w:r>
        <w:rPr>
          <w:rFonts w:hint="eastAsia" w:ascii="宋体" w:hAnsi="宋体"/>
          <w:sz w:val="24"/>
          <w:lang w:val="en-US" w:eastAsia="zh-CN"/>
        </w:rPr>
        <w:t>2#管道加压泵</w:t>
      </w:r>
    </w:p>
    <w:p>
      <w:pPr>
        <w:spacing w:line="360" w:lineRule="auto"/>
        <w:ind w:left="1800" w:leftChars="400" w:hanging="960" w:hangingChars="400"/>
        <w:jc w:val="left"/>
        <w:rPr>
          <w:rFonts w:hint="eastAsia" w:ascii="宋体" w:hAnsi="宋体"/>
          <w:sz w:val="24"/>
        </w:rPr>
      </w:pPr>
      <w:r>
        <w:rPr>
          <w:rFonts w:hint="eastAsia" w:ascii="宋体" w:hAnsi="宋体"/>
          <w:sz w:val="24"/>
        </w:rPr>
        <w:t>8、2#回水泵</w:t>
      </w:r>
    </w:p>
    <w:p>
      <w:pPr>
        <w:spacing w:line="360" w:lineRule="auto"/>
        <w:ind w:left="1800" w:leftChars="400" w:hanging="960" w:hangingChars="400"/>
        <w:jc w:val="left"/>
        <w:rPr>
          <w:rFonts w:hint="eastAsia" w:ascii="宋体" w:hAnsi="宋体"/>
          <w:sz w:val="24"/>
        </w:rPr>
      </w:pPr>
      <w:r>
        <w:rPr>
          <w:rFonts w:hint="eastAsia" w:ascii="宋体" w:hAnsi="宋体"/>
          <w:sz w:val="24"/>
        </w:rPr>
        <w:t>9、1#冲洗泵</w:t>
      </w:r>
    </w:p>
    <w:p>
      <w:pPr>
        <w:spacing w:line="360" w:lineRule="auto"/>
        <w:ind w:left="1800" w:leftChars="400" w:hanging="960" w:hangingChars="400"/>
        <w:jc w:val="left"/>
        <w:rPr>
          <w:rFonts w:hint="eastAsia" w:ascii="宋体" w:hAnsi="宋体"/>
          <w:sz w:val="24"/>
        </w:rPr>
      </w:pPr>
      <w:r>
        <w:rPr>
          <w:rFonts w:hint="eastAsia" w:ascii="宋体" w:hAnsi="宋体"/>
          <w:sz w:val="24"/>
        </w:rPr>
        <w:t>10、</w:t>
      </w:r>
      <w:r>
        <w:rPr>
          <w:rFonts w:hint="eastAsia" w:ascii="宋体" w:hAnsi="宋体"/>
          <w:sz w:val="24"/>
          <w:lang w:val="en-US" w:eastAsia="zh-CN"/>
        </w:rPr>
        <w:t>2</w:t>
      </w:r>
      <w:r>
        <w:rPr>
          <w:rFonts w:hint="eastAsia" w:ascii="宋体" w:hAnsi="宋体"/>
          <w:sz w:val="24"/>
        </w:rPr>
        <w:t>#冲洗泵</w:t>
      </w:r>
    </w:p>
    <w:p>
      <w:pPr>
        <w:spacing w:line="360" w:lineRule="auto"/>
        <w:ind w:left="1800" w:leftChars="400" w:hanging="960" w:hangingChars="400"/>
        <w:jc w:val="left"/>
        <w:rPr>
          <w:rFonts w:hint="eastAsia" w:ascii="宋体" w:hAnsi="宋体"/>
          <w:sz w:val="24"/>
          <w:lang w:val="en-US" w:eastAsia="zh-CN"/>
        </w:rPr>
      </w:pPr>
      <w:r>
        <w:rPr>
          <w:rFonts w:hint="eastAsia" w:ascii="宋体" w:hAnsi="宋体"/>
          <w:sz w:val="24"/>
        </w:rPr>
        <w:t>11、</w:t>
      </w:r>
      <w:r>
        <w:rPr>
          <w:rFonts w:hint="eastAsia" w:ascii="宋体" w:hAnsi="宋体"/>
          <w:sz w:val="24"/>
          <w:lang w:val="en-US" w:eastAsia="zh-CN"/>
        </w:rPr>
        <w:t>1#自平衡多级离心泵变频</w:t>
      </w:r>
    </w:p>
    <w:p>
      <w:pPr>
        <w:spacing w:line="360" w:lineRule="auto"/>
        <w:ind w:left="1800" w:leftChars="400" w:hanging="960" w:hangingChars="400"/>
        <w:jc w:val="left"/>
        <w:rPr>
          <w:rFonts w:hint="eastAsia" w:ascii="宋体" w:hAnsi="宋体"/>
          <w:sz w:val="24"/>
          <w:lang w:val="en-US" w:eastAsia="zh-CN"/>
        </w:rPr>
      </w:pPr>
      <w:r>
        <w:rPr>
          <w:rFonts w:hint="eastAsia" w:ascii="宋体" w:hAnsi="宋体"/>
          <w:sz w:val="24"/>
        </w:rPr>
        <w:t>1</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2#自平衡多级离心泵变频</w:t>
      </w:r>
    </w:p>
    <w:p>
      <w:pPr>
        <w:spacing w:line="360" w:lineRule="auto"/>
        <w:ind w:left="1800" w:leftChars="400" w:hanging="960" w:hangingChars="400"/>
        <w:jc w:val="left"/>
        <w:rPr>
          <w:rFonts w:ascii="宋体" w:hAnsi="宋体"/>
          <w:sz w:val="24"/>
        </w:rPr>
      </w:pPr>
      <w:r>
        <w:rPr>
          <w:rFonts w:hint="eastAsia" w:ascii="宋体" w:hAnsi="宋体"/>
          <w:sz w:val="24"/>
        </w:rPr>
        <w:t>传感器：</w:t>
      </w:r>
    </w:p>
    <w:p>
      <w:pPr>
        <w:spacing w:line="360" w:lineRule="auto"/>
        <w:ind w:left="1800" w:leftChars="400" w:hanging="960" w:hangingChars="400"/>
        <w:jc w:val="left"/>
        <w:rPr>
          <w:rFonts w:hint="eastAsia" w:ascii="宋体" w:hAnsi="宋体"/>
          <w:sz w:val="24"/>
        </w:rPr>
      </w:pPr>
      <w:r>
        <w:rPr>
          <w:rFonts w:hint="eastAsia" w:ascii="宋体" w:hAnsi="宋体"/>
          <w:sz w:val="24"/>
        </w:rPr>
        <w:t>1、1#回水泵出口回水压力</w:t>
      </w:r>
    </w:p>
    <w:p>
      <w:pPr>
        <w:spacing w:line="360" w:lineRule="auto"/>
        <w:ind w:left="1800" w:leftChars="400" w:hanging="960" w:hangingChars="400"/>
        <w:jc w:val="left"/>
        <w:rPr>
          <w:rFonts w:ascii="宋体" w:hAnsi="宋体"/>
          <w:sz w:val="24"/>
        </w:rPr>
      </w:pPr>
      <w:r>
        <w:rPr>
          <w:rFonts w:ascii="宋体" w:hAnsi="宋体"/>
          <w:sz w:val="24"/>
        </w:rPr>
        <w:t>2</w:t>
      </w:r>
      <w:r>
        <w:rPr>
          <w:rFonts w:hint="eastAsia" w:ascii="宋体" w:hAnsi="宋体"/>
          <w:sz w:val="24"/>
        </w:rPr>
        <w:t>、</w:t>
      </w:r>
      <w:r>
        <w:rPr>
          <w:rFonts w:hint="eastAsia" w:ascii="宋体" w:hAnsi="宋体"/>
          <w:sz w:val="24"/>
          <w:lang w:val="en-US" w:eastAsia="zh-CN"/>
        </w:rPr>
        <w:t>2</w:t>
      </w:r>
      <w:r>
        <w:rPr>
          <w:rFonts w:hint="eastAsia" w:ascii="宋体" w:hAnsi="宋体"/>
          <w:sz w:val="24"/>
        </w:rPr>
        <w:t>#回水泵出口回水压力</w:t>
      </w:r>
    </w:p>
    <w:p>
      <w:pPr>
        <w:numPr>
          <w:ilvl w:val="0"/>
          <w:numId w:val="10"/>
        </w:numPr>
        <w:spacing w:line="360" w:lineRule="auto"/>
        <w:ind w:left="1800" w:leftChars="400" w:hanging="960" w:hangingChars="400"/>
        <w:jc w:val="left"/>
        <w:rPr>
          <w:rFonts w:hint="eastAsia" w:ascii="宋体" w:hAnsi="宋体"/>
          <w:sz w:val="24"/>
        </w:rPr>
      </w:pPr>
      <w:r>
        <w:rPr>
          <w:rFonts w:hint="eastAsia" w:ascii="宋体" w:hAnsi="宋体"/>
          <w:sz w:val="24"/>
        </w:rPr>
        <w:t>回水池液位</w:t>
      </w:r>
    </w:p>
    <w:p>
      <w:pPr>
        <w:numPr>
          <w:ilvl w:val="0"/>
          <w:numId w:val="0"/>
        </w:numPr>
        <w:spacing w:line="360" w:lineRule="auto"/>
        <w:ind w:left="840" w:leftChars="0"/>
        <w:jc w:val="left"/>
        <w:rPr>
          <w:rFonts w:ascii="宋体" w:hAnsi="宋体"/>
          <w:sz w:val="24"/>
        </w:rPr>
      </w:pPr>
      <w:r>
        <w:rPr>
          <w:rFonts w:hint="eastAsia" w:ascii="宋体" w:hAnsi="宋体"/>
          <w:sz w:val="24"/>
          <w:lang w:val="en-US" w:eastAsia="zh-CN"/>
        </w:rPr>
        <w:t>4</w:t>
      </w:r>
      <w:r>
        <w:rPr>
          <w:rFonts w:hint="eastAsia" w:ascii="宋体" w:hAnsi="宋体"/>
          <w:sz w:val="24"/>
        </w:rPr>
        <w:t>、储水池液位</w:t>
      </w:r>
    </w:p>
    <w:p>
      <w:pPr>
        <w:numPr>
          <w:ilvl w:val="0"/>
          <w:numId w:val="0"/>
        </w:numPr>
        <w:spacing w:line="360" w:lineRule="auto"/>
        <w:ind w:left="840" w:leftChars="0"/>
        <w:jc w:val="left"/>
        <w:rPr>
          <w:rFonts w:hint="eastAsia" w:ascii="宋体" w:hAnsi="宋体"/>
          <w:sz w:val="24"/>
        </w:rPr>
      </w:pPr>
      <w:r>
        <w:rPr>
          <w:rFonts w:hint="eastAsia" w:ascii="宋体" w:hAnsi="宋体"/>
          <w:sz w:val="24"/>
          <w:lang w:val="en-US" w:eastAsia="zh-CN"/>
        </w:rPr>
        <w:t>5、</w:t>
      </w:r>
      <w:r>
        <w:rPr>
          <w:rFonts w:hint="eastAsia" w:ascii="宋体" w:hAnsi="宋体"/>
          <w:sz w:val="24"/>
        </w:rPr>
        <w:t>1#回水泵出口回水流量</w:t>
      </w:r>
    </w:p>
    <w:p>
      <w:pPr>
        <w:numPr>
          <w:ilvl w:val="0"/>
          <w:numId w:val="0"/>
        </w:numPr>
        <w:spacing w:line="360" w:lineRule="auto"/>
        <w:ind w:left="840" w:leftChars="0"/>
        <w:jc w:val="left"/>
        <w:rPr>
          <w:rFonts w:hint="eastAsia" w:ascii="宋体" w:hAnsi="宋体" w:eastAsia="宋体"/>
          <w:sz w:val="24"/>
          <w:lang w:val="en-US" w:eastAsia="zh-CN"/>
        </w:rPr>
      </w:pPr>
      <w:r>
        <w:rPr>
          <w:rFonts w:hint="eastAsia" w:ascii="宋体" w:hAnsi="宋体"/>
          <w:sz w:val="24"/>
          <w:lang w:val="en-US" w:eastAsia="zh-CN"/>
        </w:rPr>
        <w:t>6、2</w:t>
      </w:r>
      <w:r>
        <w:rPr>
          <w:rFonts w:hint="eastAsia" w:ascii="宋体" w:hAnsi="宋体"/>
          <w:sz w:val="24"/>
        </w:rPr>
        <w:t>#回水泵出口回水流量</w:t>
      </w:r>
    </w:p>
    <w:p>
      <w:pPr>
        <w:pStyle w:val="28"/>
        <w:adjustRightInd w:val="0"/>
        <w:spacing w:line="360" w:lineRule="auto"/>
        <w:ind w:left="0" w:leftChars="0" w:firstLine="420"/>
        <w:contextualSpacing/>
        <w:outlineLvl w:val="2"/>
        <w:rPr>
          <w:rFonts w:hint="eastAsia" w:ascii="宋体" w:hAnsi="宋体" w:eastAsia="宋体" w:cs="Courier New"/>
          <w:b/>
          <w:bCs/>
          <w:sz w:val="24"/>
        </w:rPr>
      </w:pPr>
      <w:bookmarkStart w:id="59" w:name="_Toc26310"/>
      <w:r>
        <w:rPr>
          <w:rFonts w:hint="eastAsia" w:ascii="宋体" w:hAnsi="宋体" w:eastAsia="宋体" w:cs="Courier New"/>
          <w:b/>
          <w:bCs/>
          <w:sz w:val="24"/>
        </w:rPr>
        <w:t>2.3控制方式</w:t>
      </w:r>
      <w:bookmarkEnd w:id="59"/>
    </w:p>
    <w:p>
      <w:pPr>
        <w:spacing w:line="360" w:lineRule="auto"/>
        <w:ind w:firstLine="420" w:firstLineChars="200"/>
        <w:rPr>
          <w:rFonts w:ascii="宋体" w:hAnsi="宋体"/>
        </w:rPr>
      </w:pPr>
      <w:r>
        <w:rPr>
          <w:rFonts w:hint="eastAsia" w:ascii="宋体" w:hAnsi="宋体"/>
          <w:lang w:eastAsia="zh-CN"/>
        </w:rPr>
        <w:t>本</w:t>
      </w:r>
      <w:r>
        <w:rPr>
          <w:rFonts w:hint="eastAsia" w:ascii="宋体" w:hAnsi="宋体"/>
        </w:rPr>
        <w:t>系统具备远程自动控制方式、远程手动控制和就地控制三种控制方式。远程自动控制方式为主要的和基本的运行方式，其它两种运行方式为在特定工况下的补充，另根据系统工艺要求提供运行时所必要的联锁。</w:t>
      </w:r>
      <w:bookmarkStart w:id="60" w:name="_Toc309661313"/>
      <w:bookmarkStart w:id="61" w:name="_Toc324513390"/>
      <w:bookmarkStart w:id="62" w:name="_Toc259013805"/>
      <w:bookmarkStart w:id="63" w:name="_Toc258296754"/>
    </w:p>
    <w:p>
      <w:pPr>
        <w:numPr>
          <w:ilvl w:val="0"/>
          <w:numId w:val="11"/>
        </w:numPr>
        <w:spacing w:line="360" w:lineRule="auto"/>
        <w:rPr>
          <w:rFonts w:ascii="宋体" w:hAnsi="宋体"/>
          <w:b/>
        </w:rPr>
      </w:pPr>
      <w:r>
        <w:rPr>
          <w:rFonts w:hint="eastAsia" w:ascii="宋体" w:hAnsi="宋体"/>
          <w:b/>
        </w:rPr>
        <w:t>远程自动控制</w:t>
      </w:r>
      <w:bookmarkEnd w:id="60"/>
      <w:bookmarkEnd w:id="61"/>
      <w:bookmarkEnd w:id="62"/>
      <w:bookmarkEnd w:id="63"/>
    </w:p>
    <w:p>
      <w:pPr>
        <w:spacing w:line="360" w:lineRule="auto"/>
        <w:ind w:firstLine="420" w:firstLineChars="200"/>
        <w:rPr>
          <w:rFonts w:ascii="宋体" w:hAnsi="宋体"/>
        </w:rPr>
      </w:pPr>
      <w:r>
        <w:rPr>
          <w:rFonts w:hint="eastAsia" w:ascii="宋体" w:hAnsi="宋体"/>
        </w:rPr>
        <w:t>远程自动控制模式由上位机完成，操作人员可通过上位机画面的自动方式启动按钮来启动生产线。首先程序进行自检，自检通过则弹出启动允许对话框，如果发现生产线上设备出现故障、处于检修状态或其他非正常情况时发出报警。在远程自动控制方式下，生产线上的所有设备按工艺要求进行联锁。</w:t>
      </w:r>
      <w:bookmarkStart w:id="64" w:name="_Toc309661314"/>
      <w:bookmarkStart w:id="65" w:name="_Toc259013806"/>
      <w:bookmarkStart w:id="66" w:name="_Toc258296755"/>
      <w:bookmarkStart w:id="67" w:name="_Toc324513391"/>
    </w:p>
    <w:p>
      <w:pPr>
        <w:numPr>
          <w:ilvl w:val="0"/>
          <w:numId w:val="11"/>
        </w:numPr>
        <w:spacing w:line="360" w:lineRule="auto"/>
        <w:rPr>
          <w:rFonts w:ascii="宋体" w:hAnsi="宋体"/>
          <w:b/>
        </w:rPr>
      </w:pPr>
      <w:r>
        <w:rPr>
          <w:rFonts w:hint="eastAsia" w:ascii="宋体" w:hAnsi="宋体"/>
          <w:b/>
        </w:rPr>
        <w:t>远程手动控制</w:t>
      </w:r>
      <w:bookmarkEnd w:id="64"/>
      <w:bookmarkEnd w:id="65"/>
      <w:bookmarkEnd w:id="66"/>
      <w:bookmarkEnd w:id="67"/>
    </w:p>
    <w:p>
      <w:pPr>
        <w:spacing w:line="360" w:lineRule="auto"/>
        <w:ind w:firstLine="420" w:firstLineChars="200"/>
        <w:rPr>
          <w:rFonts w:ascii="宋体" w:hAnsi="宋体"/>
        </w:rPr>
      </w:pPr>
      <w:r>
        <w:rPr>
          <w:rFonts w:hint="eastAsia" w:ascii="宋体" w:hAnsi="宋体"/>
        </w:rPr>
        <w:t>远程手动控制模式由上位机完成，可实现设备的单机启停。在远程手动控制方式下，由操作人员直接点击画面上的设备，在弹出的单个设备启停对话框上直接进行设备的控制。</w:t>
      </w:r>
      <w:bookmarkStart w:id="68" w:name="_Toc258296756"/>
      <w:bookmarkStart w:id="69" w:name="_Toc259013807"/>
      <w:bookmarkStart w:id="70" w:name="_Toc324513392"/>
      <w:bookmarkStart w:id="71" w:name="_Toc309661315"/>
    </w:p>
    <w:p>
      <w:pPr>
        <w:numPr>
          <w:ilvl w:val="0"/>
          <w:numId w:val="11"/>
        </w:numPr>
        <w:spacing w:line="360" w:lineRule="auto"/>
        <w:rPr>
          <w:rFonts w:ascii="宋体" w:hAnsi="宋体"/>
          <w:b/>
        </w:rPr>
      </w:pPr>
      <w:r>
        <w:rPr>
          <w:rFonts w:hint="eastAsia" w:ascii="宋体" w:hAnsi="宋体"/>
          <w:b/>
        </w:rPr>
        <w:t>就地手动控制</w:t>
      </w:r>
      <w:bookmarkEnd w:id="68"/>
      <w:bookmarkEnd w:id="69"/>
      <w:bookmarkEnd w:id="70"/>
      <w:bookmarkEnd w:id="71"/>
    </w:p>
    <w:p>
      <w:pPr>
        <w:spacing w:line="360" w:lineRule="auto"/>
        <w:ind w:firstLine="420" w:firstLineChars="200"/>
        <w:rPr>
          <w:rFonts w:ascii="宋体" w:hAnsi="宋体"/>
        </w:rPr>
      </w:pPr>
      <w:r>
        <w:rPr>
          <w:rFonts w:hint="eastAsia" w:ascii="宋体" w:hAnsi="宋体"/>
        </w:rPr>
        <w:t>就地控制模式由安装在设备附近的就地按钮站或设备自带的控制箱来完成，可通过就地/远程切换开关切换设备的控制方式。只有当切换开关放在远程位置时，中控室才能通过程控操作设备，当切换开关放在就地位置时，只能在就地手动操作设备；就地手动操作方式具有最高的操作权限。</w:t>
      </w:r>
    </w:p>
    <w:p>
      <w:pPr>
        <w:pStyle w:val="28"/>
        <w:adjustRightInd w:val="0"/>
        <w:spacing w:line="360" w:lineRule="auto"/>
        <w:ind w:left="0" w:leftChars="0" w:firstLine="420"/>
        <w:contextualSpacing/>
        <w:outlineLvl w:val="2"/>
        <w:rPr>
          <w:rFonts w:ascii="宋体" w:hAnsi="宋体" w:cs="Courier New"/>
          <w:b/>
          <w:bCs/>
          <w:sz w:val="24"/>
        </w:rPr>
      </w:pPr>
      <w:bookmarkStart w:id="72" w:name="_Toc27326"/>
      <w:r>
        <w:rPr>
          <w:rFonts w:hint="eastAsia" w:ascii="宋体" w:hAnsi="宋体" w:cs="Courier New"/>
          <w:b/>
          <w:bCs/>
          <w:sz w:val="24"/>
        </w:rPr>
        <w:t>2.</w:t>
      </w:r>
      <w:r>
        <w:rPr>
          <w:rFonts w:ascii="宋体" w:hAnsi="宋体" w:cs="Courier New"/>
          <w:b/>
          <w:bCs/>
          <w:sz w:val="24"/>
        </w:rPr>
        <w:t>4</w:t>
      </w:r>
      <w:r>
        <w:rPr>
          <w:rFonts w:hint="eastAsia" w:ascii="宋体" w:hAnsi="宋体" w:cs="Courier New"/>
          <w:b/>
          <w:bCs/>
          <w:sz w:val="24"/>
        </w:rPr>
        <w:t>软件设计</w:t>
      </w:r>
      <w:bookmarkEnd w:id="72"/>
    </w:p>
    <w:p>
      <w:pPr>
        <w:spacing w:line="360" w:lineRule="auto"/>
        <w:ind w:firstLine="420" w:firstLineChars="200"/>
        <w:rPr>
          <w:rFonts w:ascii="宋体" w:hAnsi="宋体"/>
        </w:rPr>
      </w:pPr>
      <w:r>
        <w:rPr>
          <w:rFonts w:hint="eastAsia" w:ascii="宋体" w:hAnsi="宋体"/>
        </w:rPr>
        <w:t>本系统采用国际先进的工业组态软件，主要用于实现数据的采集、数据处理、数据存储、监控画面、故障报警、曲线报表等功能，同时，为了防止越限操作的发生，对各个操作按钮进行了权限处理，只有相应的工作人员才有权限进行相应级别的操作。</w:t>
      </w:r>
    </w:p>
    <w:p>
      <w:pPr>
        <w:numPr>
          <w:ilvl w:val="0"/>
          <w:numId w:val="12"/>
        </w:numPr>
        <w:spacing w:line="360" w:lineRule="auto"/>
        <w:rPr>
          <w:rFonts w:ascii="宋体" w:hAnsi="宋体"/>
          <w:b/>
        </w:rPr>
      </w:pPr>
      <w:r>
        <w:rPr>
          <w:rFonts w:hint="eastAsia" w:ascii="宋体" w:hAnsi="宋体"/>
          <w:b/>
        </w:rPr>
        <w:t>组态化设计</w:t>
      </w:r>
    </w:p>
    <w:p>
      <w:pPr>
        <w:spacing w:line="360" w:lineRule="auto"/>
        <w:ind w:firstLine="420" w:firstLineChars="200"/>
        <w:rPr>
          <w:rFonts w:ascii="宋体" w:hAnsi="宋体"/>
        </w:rPr>
      </w:pPr>
      <w:r>
        <w:rPr>
          <w:rFonts w:hint="eastAsia" w:ascii="宋体" w:hAnsi="宋体"/>
        </w:rPr>
        <w:t>利用成熟的工业组态软件开发工具开发完组态软件后，再进行二次开发，二次开发不涉及源程序，只需要利用组态软件的元素进行配置、编辑、脚本编写等工作即可完成监控软件的开发</w:t>
      </w:r>
    </w:p>
    <w:p>
      <w:pPr>
        <w:numPr>
          <w:ilvl w:val="0"/>
          <w:numId w:val="12"/>
        </w:numPr>
        <w:spacing w:line="360" w:lineRule="auto"/>
        <w:rPr>
          <w:rFonts w:ascii="宋体" w:hAnsi="宋体"/>
          <w:b/>
        </w:rPr>
      </w:pPr>
      <w:r>
        <w:rPr>
          <w:rFonts w:hint="eastAsia" w:ascii="宋体" w:hAnsi="宋体"/>
          <w:b/>
        </w:rPr>
        <w:t>权限分类访问</w:t>
      </w:r>
    </w:p>
    <w:p>
      <w:pPr>
        <w:spacing w:line="360" w:lineRule="auto"/>
        <w:ind w:firstLine="420" w:firstLineChars="200"/>
        <w:rPr>
          <w:rFonts w:ascii="宋体" w:hAnsi="宋体"/>
        </w:rPr>
      </w:pPr>
      <w:r>
        <w:rPr>
          <w:rFonts w:hint="eastAsia" w:ascii="宋体" w:hAnsi="宋体"/>
        </w:rPr>
        <w:t>同一客户端可根据操作者的权限，访问不同的监控系统，对操作的权限主要包括登录权限、访问权限、操作权限、修改权限等，权限管理由软件管理者（Admin）进行设置，采用用户组加密码组的形式来实现。</w:t>
      </w:r>
    </w:p>
    <w:p>
      <w:pPr>
        <w:pStyle w:val="28"/>
        <w:adjustRightInd w:val="0"/>
        <w:spacing w:line="360" w:lineRule="auto"/>
        <w:ind w:left="0" w:leftChars="0" w:firstLine="420"/>
        <w:contextualSpacing/>
        <w:outlineLvl w:val="2"/>
        <w:rPr>
          <w:rFonts w:hint="eastAsia" w:ascii="宋体" w:hAnsi="宋体" w:eastAsia="宋体" w:cs="Courier New"/>
          <w:b/>
          <w:bCs/>
          <w:sz w:val="24"/>
          <w:lang w:eastAsia="zh-CN"/>
        </w:rPr>
      </w:pPr>
      <w:bookmarkStart w:id="73" w:name="_Toc271153011"/>
      <w:bookmarkStart w:id="74" w:name="_Toc358714115"/>
      <w:bookmarkStart w:id="75" w:name="_Toc3969"/>
      <w:r>
        <w:rPr>
          <w:rFonts w:hint="eastAsia" w:ascii="宋体" w:hAnsi="宋体" w:eastAsia="宋体" w:cs="Courier New"/>
          <w:b/>
          <w:bCs/>
          <w:sz w:val="24"/>
        </w:rPr>
        <w:t>2.5</w:t>
      </w:r>
      <w:bookmarkEnd w:id="73"/>
      <w:bookmarkEnd w:id="74"/>
      <w:r>
        <w:rPr>
          <w:rFonts w:hint="eastAsia" w:ascii="宋体" w:hAnsi="宋体" w:eastAsia="宋体" w:cs="Courier New"/>
          <w:b/>
          <w:bCs/>
          <w:sz w:val="24"/>
          <w:lang w:eastAsia="zh-CN"/>
        </w:rPr>
        <w:t>软件主要功能</w:t>
      </w:r>
      <w:bookmarkEnd w:id="75"/>
    </w:p>
    <w:p>
      <w:pPr>
        <w:numPr>
          <w:ilvl w:val="0"/>
          <w:numId w:val="13"/>
        </w:numPr>
        <w:spacing w:line="360" w:lineRule="auto"/>
        <w:rPr>
          <w:rFonts w:ascii="宋体" w:hAnsi="宋体"/>
          <w:b/>
        </w:rPr>
      </w:pPr>
      <w:r>
        <w:rPr>
          <w:rFonts w:hint="eastAsia" w:ascii="宋体" w:hAnsi="宋体"/>
          <w:b/>
        </w:rPr>
        <w:t>数据采集</w:t>
      </w:r>
    </w:p>
    <w:p>
      <w:pPr>
        <w:spacing w:line="360" w:lineRule="auto"/>
        <w:ind w:firstLine="420" w:firstLineChars="200"/>
        <w:rPr>
          <w:rFonts w:ascii="宋体" w:hAnsi="宋体"/>
        </w:rPr>
      </w:pPr>
      <w:r>
        <w:rPr>
          <w:rFonts w:hint="eastAsia" w:ascii="宋体" w:hAnsi="宋体"/>
        </w:rPr>
        <w:t>支持OPC及多个常见的数据通讯协议，并能以扩展功能的块的形式，嵌入特定开发的通讯。还能和AB，Siemens，Schneider等主要厂商的控制设备或任何的开放控制网络进行方便的通讯。</w:t>
      </w:r>
    </w:p>
    <w:p>
      <w:pPr>
        <w:numPr>
          <w:ilvl w:val="0"/>
          <w:numId w:val="13"/>
        </w:numPr>
        <w:spacing w:line="360" w:lineRule="auto"/>
        <w:rPr>
          <w:rFonts w:ascii="宋体" w:hAnsi="宋体"/>
          <w:b/>
        </w:rPr>
      </w:pPr>
      <w:r>
        <w:rPr>
          <w:rFonts w:hint="eastAsia" w:ascii="宋体" w:hAnsi="宋体"/>
          <w:b/>
        </w:rPr>
        <w:t>实时和历史数据库</w:t>
      </w:r>
    </w:p>
    <w:p>
      <w:pPr>
        <w:numPr>
          <w:ilvl w:val="0"/>
          <w:numId w:val="14"/>
        </w:numPr>
        <w:spacing w:line="360" w:lineRule="auto"/>
        <w:rPr>
          <w:rFonts w:ascii="宋体" w:hAnsi="宋体"/>
        </w:rPr>
      </w:pPr>
      <w:r>
        <w:rPr>
          <w:rFonts w:hint="eastAsia" w:ascii="宋体" w:hAnsi="宋体"/>
        </w:rPr>
        <w:t>存储子系统把实时数据作为高优先级任务并以不间断的方式处理；</w:t>
      </w:r>
    </w:p>
    <w:p>
      <w:pPr>
        <w:numPr>
          <w:ilvl w:val="0"/>
          <w:numId w:val="14"/>
        </w:numPr>
        <w:spacing w:line="360" w:lineRule="auto"/>
        <w:rPr>
          <w:rFonts w:ascii="宋体" w:hAnsi="宋体"/>
        </w:rPr>
      </w:pPr>
      <w:r>
        <w:rPr>
          <w:rFonts w:hint="eastAsia" w:ascii="宋体" w:hAnsi="宋体"/>
        </w:rPr>
        <w:t>存储系统能够存储原始数据和校正后的数据；</w:t>
      </w:r>
    </w:p>
    <w:p>
      <w:pPr>
        <w:numPr>
          <w:ilvl w:val="0"/>
          <w:numId w:val="14"/>
        </w:numPr>
        <w:spacing w:line="360" w:lineRule="auto"/>
        <w:rPr>
          <w:rFonts w:ascii="宋体" w:hAnsi="宋体"/>
        </w:rPr>
      </w:pPr>
      <w:r>
        <w:rPr>
          <w:rFonts w:hint="eastAsia" w:ascii="宋体" w:hAnsi="宋体"/>
        </w:rPr>
        <w:t>对数据库的所有变更都应是可跟踪的；</w:t>
      </w:r>
    </w:p>
    <w:p>
      <w:pPr>
        <w:numPr>
          <w:ilvl w:val="0"/>
          <w:numId w:val="14"/>
        </w:numPr>
        <w:spacing w:line="360" w:lineRule="auto"/>
        <w:rPr>
          <w:rFonts w:ascii="宋体" w:hAnsi="宋体"/>
        </w:rPr>
      </w:pPr>
      <w:r>
        <w:rPr>
          <w:rFonts w:hint="eastAsia" w:ascii="宋体" w:hAnsi="宋体"/>
        </w:rPr>
        <w:t>实时历史数据库中应全面支持人工数据。不允许采用外部表形式；</w:t>
      </w:r>
    </w:p>
    <w:p>
      <w:pPr>
        <w:numPr>
          <w:ilvl w:val="0"/>
          <w:numId w:val="13"/>
        </w:numPr>
        <w:spacing w:line="360" w:lineRule="auto"/>
        <w:rPr>
          <w:rFonts w:ascii="宋体" w:hAnsi="宋体"/>
          <w:b/>
        </w:rPr>
      </w:pPr>
      <w:r>
        <w:rPr>
          <w:rFonts w:hint="eastAsia" w:ascii="宋体" w:hAnsi="宋体"/>
          <w:b/>
        </w:rPr>
        <w:t>实时监测</w:t>
      </w:r>
    </w:p>
    <w:p>
      <w:pPr>
        <w:spacing w:line="360" w:lineRule="auto"/>
        <w:ind w:firstLine="420" w:firstLineChars="200"/>
        <w:rPr>
          <w:rFonts w:ascii="宋体" w:hAnsi="宋体"/>
        </w:rPr>
      </w:pPr>
      <w:r>
        <w:rPr>
          <w:rFonts w:hint="eastAsia" w:ascii="宋体" w:hAnsi="宋体"/>
        </w:rPr>
        <w:t>实时监测相应系统的各类实时数据，并经过适当的换算之后以数字、动画、图表等形式直观、清晰的显示，数据的刷新要与数据采集时间一致。</w:t>
      </w:r>
    </w:p>
    <w:p>
      <w:pPr>
        <w:numPr>
          <w:ilvl w:val="0"/>
          <w:numId w:val="13"/>
        </w:numPr>
        <w:spacing w:line="360" w:lineRule="auto"/>
        <w:rPr>
          <w:rFonts w:ascii="宋体" w:hAnsi="宋体"/>
          <w:b/>
        </w:rPr>
      </w:pPr>
      <w:r>
        <w:rPr>
          <w:rFonts w:hint="eastAsia" w:ascii="宋体" w:hAnsi="宋体"/>
          <w:b/>
        </w:rPr>
        <w:t>操作控制</w:t>
      </w:r>
    </w:p>
    <w:p>
      <w:pPr>
        <w:spacing w:line="360" w:lineRule="auto"/>
        <w:ind w:firstLine="420" w:firstLineChars="200"/>
        <w:rPr>
          <w:rFonts w:ascii="宋体" w:hAnsi="宋体"/>
        </w:rPr>
      </w:pPr>
      <w:r>
        <w:rPr>
          <w:rFonts w:hint="eastAsia" w:ascii="宋体" w:hAnsi="宋体"/>
        </w:rPr>
        <w:t>通过鼠标或键盘对相应系统及设备进行分列、闭锁、一键等操作，并能对操作结果进行及时的反馈跟踪。</w:t>
      </w:r>
    </w:p>
    <w:p>
      <w:pPr>
        <w:spacing w:line="360" w:lineRule="auto"/>
        <w:ind w:firstLine="420" w:firstLineChars="200"/>
        <w:rPr>
          <w:rFonts w:ascii="宋体" w:hAnsi="宋体"/>
        </w:rPr>
      </w:pPr>
      <w:r>
        <w:rPr>
          <w:rFonts w:hint="eastAsia" w:ascii="宋体" w:hAnsi="宋体"/>
        </w:rPr>
        <w:t>操作采用引导式操作模式，软件应根据不同的操作编制操作流程，操作人员在操作时只需通过点击类似“打开”、“关闭”、“停止”等按钮就可以进行完整的操作，程序应能根据设定的操作流程和操作结果反馈自动跳转到后续操作，而不必让操作人员在多个监控画面之间来回切换，单独操作相应设备。同时对操作中因出现异常情况而终止流程的原因进行提示和记录。</w:t>
      </w:r>
    </w:p>
    <w:p>
      <w:pPr>
        <w:spacing w:line="360" w:lineRule="auto"/>
        <w:ind w:firstLine="420" w:firstLineChars="200"/>
        <w:rPr>
          <w:rFonts w:ascii="宋体" w:hAnsi="宋体"/>
        </w:rPr>
      </w:pPr>
      <w:r>
        <w:rPr>
          <w:rFonts w:hint="eastAsia" w:ascii="宋体" w:hAnsi="宋体"/>
        </w:rPr>
        <w:t>所有本方案设计的操作过程、结果都应有详细记录，记录至少包括如操作人员、操作时间、操作结果等信息，这些操作记录与事件一起记录到历史数据库，并能保持至少6个月，以便后续查询。</w:t>
      </w:r>
    </w:p>
    <w:p>
      <w:pPr>
        <w:numPr>
          <w:ilvl w:val="0"/>
          <w:numId w:val="13"/>
        </w:numPr>
        <w:spacing w:line="360" w:lineRule="auto"/>
        <w:rPr>
          <w:rFonts w:ascii="宋体" w:hAnsi="宋体"/>
          <w:b/>
        </w:rPr>
      </w:pPr>
      <w:r>
        <w:rPr>
          <w:rFonts w:hint="eastAsia" w:ascii="宋体" w:hAnsi="宋体"/>
          <w:b/>
        </w:rPr>
        <w:t>报警记录</w:t>
      </w:r>
    </w:p>
    <w:p>
      <w:pPr>
        <w:numPr>
          <w:ilvl w:val="0"/>
          <w:numId w:val="15"/>
        </w:numPr>
        <w:spacing w:line="360" w:lineRule="auto"/>
        <w:rPr>
          <w:rFonts w:ascii="宋体" w:hAnsi="宋体"/>
        </w:rPr>
      </w:pPr>
      <w:r>
        <w:rPr>
          <w:rFonts w:hint="eastAsia" w:ascii="宋体" w:hAnsi="宋体"/>
        </w:rPr>
        <w:t>报警应有轻、重之分，并对不同程度的报警有不同的显示和处理流程</w:t>
      </w:r>
    </w:p>
    <w:p>
      <w:pPr>
        <w:numPr>
          <w:ilvl w:val="0"/>
          <w:numId w:val="15"/>
        </w:numPr>
        <w:spacing w:line="360" w:lineRule="auto"/>
        <w:rPr>
          <w:rFonts w:ascii="宋体" w:hAnsi="宋体"/>
        </w:rPr>
      </w:pPr>
      <w:r>
        <w:rPr>
          <w:rFonts w:hint="eastAsia" w:ascii="宋体" w:hAnsi="宋体"/>
        </w:rPr>
        <w:t>报警的种类可分为超限报警、保护动作、触发报警、异常报警等类别，报警的判断可分为下位系统报警和监控软件自身报警两类</w:t>
      </w:r>
    </w:p>
    <w:p>
      <w:pPr>
        <w:numPr>
          <w:ilvl w:val="0"/>
          <w:numId w:val="15"/>
        </w:numPr>
        <w:spacing w:line="360" w:lineRule="auto"/>
        <w:rPr>
          <w:rFonts w:ascii="宋体" w:hAnsi="宋体"/>
        </w:rPr>
      </w:pPr>
      <w:r>
        <w:rPr>
          <w:rFonts w:hint="eastAsia" w:ascii="宋体" w:hAnsi="宋体"/>
        </w:rPr>
        <w:t>报警发生时，监控软件应第一时间出现报警提示，提示的方式可以为弹出窗、闪烁指示灯、滚动字条等方式，并具备声音报警，通过配置的音箱输出预录的报警语音提示操作人员注意</w:t>
      </w:r>
    </w:p>
    <w:p>
      <w:pPr>
        <w:numPr>
          <w:ilvl w:val="0"/>
          <w:numId w:val="15"/>
        </w:numPr>
        <w:spacing w:line="360" w:lineRule="auto"/>
        <w:rPr>
          <w:rFonts w:ascii="宋体" w:hAnsi="宋体"/>
        </w:rPr>
      </w:pPr>
      <w:r>
        <w:rPr>
          <w:rFonts w:hint="eastAsia" w:ascii="宋体" w:hAnsi="宋体"/>
        </w:rPr>
        <w:t>报警必须有详细的记录，记录信息包括报警发生时间、地点（设备）、类别、原因、确认时间、处理时间、恢复时间等</w:t>
      </w:r>
    </w:p>
    <w:p>
      <w:pPr>
        <w:numPr>
          <w:ilvl w:val="0"/>
          <w:numId w:val="15"/>
        </w:numPr>
        <w:spacing w:line="360" w:lineRule="auto"/>
        <w:rPr>
          <w:rFonts w:ascii="宋体" w:hAnsi="宋体"/>
        </w:rPr>
      </w:pPr>
      <w:r>
        <w:rPr>
          <w:rFonts w:hint="eastAsia" w:ascii="宋体" w:hAnsi="宋体"/>
        </w:rPr>
        <w:t>报警记录应至少保存6个月，并能通过时间、设备等条件进行快速筛选查询</w:t>
      </w:r>
    </w:p>
    <w:p>
      <w:pPr>
        <w:numPr>
          <w:ilvl w:val="0"/>
          <w:numId w:val="15"/>
        </w:numPr>
        <w:spacing w:line="360" w:lineRule="auto"/>
        <w:rPr>
          <w:rFonts w:ascii="宋体" w:hAnsi="宋体"/>
        </w:rPr>
      </w:pPr>
      <w:r>
        <w:rPr>
          <w:rFonts w:hint="eastAsia" w:ascii="宋体" w:hAnsi="宋体"/>
        </w:rPr>
        <w:t>报警的触发、记录等在服务端完成，而报警的显示、确认、查询等工作可在客户机终端进行</w:t>
      </w:r>
    </w:p>
    <w:p>
      <w:pPr>
        <w:numPr>
          <w:ilvl w:val="0"/>
          <w:numId w:val="13"/>
        </w:numPr>
        <w:spacing w:line="360" w:lineRule="auto"/>
        <w:rPr>
          <w:rFonts w:ascii="宋体" w:hAnsi="宋体"/>
          <w:b/>
        </w:rPr>
      </w:pPr>
      <w:r>
        <w:rPr>
          <w:rFonts w:hint="eastAsia" w:ascii="宋体" w:hAnsi="宋体"/>
          <w:b/>
        </w:rPr>
        <w:t>事件记录</w:t>
      </w:r>
    </w:p>
    <w:p>
      <w:pPr>
        <w:numPr>
          <w:ilvl w:val="0"/>
          <w:numId w:val="16"/>
        </w:numPr>
        <w:spacing w:line="360" w:lineRule="auto"/>
        <w:rPr>
          <w:rFonts w:ascii="宋体" w:hAnsi="宋体"/>
        </w:rPr>
      </w:pPr>
      <w:r>
        <w:rPr>
          <w:rFonts w:hint="eastAsia" w:ascii="宋体" w:hAnsi="宋体"/>
        </w:rPr>
        <w:t>与报警不同的是事件主要记录的与设备或系统相关的正常操作、起停、调节等，而不是记录异常情况</w:t>
      </w:r>
    </w:p>
    <w:p>
      <w:pPr>
        <w:numPr>
          <w:ilvl w:val="0"/>
          <w:numId w:val="16"/>
        </w:numPr>
        <w:spacing w:line="360" w:lineRule="auto"/>
        <w:rPr>
          <w:rFonts w:ascii="宋体" w:hAnsi="宋体"/>
        </w:rPr>
      </w:pPr>
      <w:r>
        <w:rPr>
          <w:rFonts w:hint="eastAsia" w:ascii="宋体" w:hAnsi="宋体"/>
        </w:rPr>
        <w:t>事件必须有详细的记录，记录信息包括事件发生时间、地点（设备）、类别、结果等</w:t>
      </w:r>
    </w:p>
    <w:p>
      <w:pPr>
        <w:numPr>
          <w:ilvl w:val="0"/>
          <w:numId w:val="16"/>
        </w:numPr>
        <w:spacing w:line="360" w:lineRule="auto"/>
        <w:rPr>
          <w:rFonts w:ascii="宋体" w:hAnsi="宋体"/>
        </w:rPr>
      </w:pPr>
      <w:r>
        <w:rPr>
          <w:rFonts w:hint="eastAsia" w:ascii="宋体" w:hAnsi="宋体"/>
        </w:rPr>
        <w:t>事件记录至少保存6个月，并能通过时间、设备等条件进行快速筛选查询</w:t>
      </w:r>
    </w:p>
    <w:p>
      <w:pPr>
        <w:numPr>
          <w:ilvl w:val="0"/>
          <w:numId w:val="16"/>
        </w:numPr>
        <w:spacing w:line="360" w:lineRule="auto"/>
        <w:rPr>
          <w:rFonts w:ascii="宋体" w:hAnsi="宋体"/>
        </w:rPr>
      </w:pPr>
      <w:r>
        <w:rPr>
          <w:rFonts w:hint="eastAsia" w:ascii="宋体" w:hAnsi="宋体"/>
        </w:rPr>
        <w:t>事件的触发、记录等在服务器端完成，而事件的显示、确认、查询等工作可在客户机终端进行。</w:t>
      </w:r>
    </w:p>
    <w:p>
      <w:pPr>
        <w:numPr>
          <w:ilvl w:val="0"/>
          <w:numId w:val="13"/>
        </w:numPr>
        <w:spacing w:line="360" w:lineRule="auto"/>
        <w:rPr>
          <w:rFonts w:ascii="宋体" w:hAnsi="宋体"/>
          <w:b/>
        </w:rPr>
      </w:pPr>
      <w:r>
        <w:rPr>
          <w:rFonts w:hint="eastAsia" w:ascii="宋体" w:hAnsi="宋体"/>
          <w:b/>
        </w:rPr>
        <w:t>报表统计</w:t>
      </w:r>
    </w:p>
    <w:p>
      <w:pPr>
        <w:numPr>
          <w:ilvl w:val="0"/>
          <w:numId w:val="17"/>
        </w:numPr>
        <w:spacing w:line="360" w:lineRule="auto"/>
        <w:rPr>
          <w:rFonts w:ascii="宋体" w:hAnsi="宋体"/>
        </w:rPr>
      </w:pPr>
      <w:r>
        <w:rPr>
          <w:rFonts w:hint="eastAsia" w:ascii="宋体" w:hAnsi="宋体"/>
        </w:rPr>
        <w:t>报表统计分为班报、日报、月报和年报四种，各类报表需预制报表格式，操作人员只需选择相应的报表种类和时间段就可方便的获得相应报表，并能进行存储和打印</w:t>
      </w:r>
    </w:p>
    <w:p>
      <w:pPr>
        <w:numPr>
          <w:ilvl w:val="0"/>
          <w:numId w:val="17"/>
        </w:numPr>
        <w:spacing w:line="360" w:lineRule="auto"/>
        <w:rPr>
          <w:rFonts w:ascii="宋体" w:hAnsi="宋体"/>
        </w:rPr>
      </w:pPr>
      <w:r>
        <w:rPr>
          <w:rFonts w:hint="eastAsia" w:ascii="宋体" w:hAnsi="宋体"/>
        </w:rPr>
        <w:t>报表统计的主要内部包括相关设备或系统的定时数据（插值计算）、累计数据、操作时间、产量、能耗等信息</w:t>
      </w:r>
    </w:p>
    <w:p>
      <w:pPr>
        <w:numPr>
          <w:ilvl w:val="0"/>
          <w:numId w:val="17"/>
        </w:numPr>
        <w:spacing w:line="360" w:lineRule="auto"/>
        <w:rPr>
          <w:rFonts w:ascii="宋体" w:hAnsi="宋体"/>
        </w:rPr>
      </w:pPr>
      <w:r>
        <w:rPr>
          <w:rFonts w:hint="eastAsia" w:ascii="宋体" w:hAnsi="宋体"/>
        </w:rPr>
        <w:t>报表统计所需数据来自工业数据库，报表数据的筛选和计算由服务器完成，客户端向服务器提出报表申请后，服务器完成报表的数据的整理，并将结果反馈给客户端。</w:t>
      </w:r>
    </w:p>
    <w:p>
      <w:pPr>
        <w:numPr>
          <w:ilvl w:val="0"/>
          <w:numId w:val="13"/>
        </w:numPr>
        <w:spacing w:line="360" w:lineRule="auto"/>
        <w:rPr>
          <w:rFonts w:ascii="宋体" w:hAnsi="宋体"/>
          <w:b/>
        </w:rPr>
      </w:pPr>
      <w:r>
        <w:rPr>
          <w:rFonts w:hint="eastAsia" w:ascii="宋体" w:hAnsi="宋体"/>
          <w:b/>
        </w:rPr>
        <w:t>权限管理</w:t>
      </w:r>
    </w:p>
    <w:p>
      <w:pPr>
        <w:numPr>
          <w:ilvl w:val="0"/>
          <w:numId w:val="18"/>
        </w:numPr>
        <w:spacing w:line="360" w:lineRule="auto"/>
        <w:rPr>
          <w:rFonts w:ascii="宋体" w:hAnsi="宋体"/>
        </w:rPr>
      </w:pPr>
      <w:r>
        <w:rPr>
          <w:rFonts w:hint="eastAsia" w:ascii="宋体" w:hAnsi="宋体"/>
        </w:rPr>
        <w:t>监控软件具备完备的权限管理功能，主要的权限包括登录权限、访问权限、远程操作权限、修改权限、删除权限等</w:t>
      </w:r>
    </w:p>
    <w:p>
      <w:pPr>
        <w:numPr>
          <w:ilvl w:val="0"/>
          <w:numId w:val="18"/>
        </w:numPr>
        <w:spacing w:line="360" w:lineRule="auto"/>
        <w:rPr>
          <w:rFonts w:ascii="宋体" w:hAnsi="宋体"/>
        </w:rPr>
      </w:pPr>
      <w:r>
        <w:rPr>
          <w:rFonts w:hint="eastAsia" w:ascii="宋体" w:hAnsi="宋体"/>
        </w:rPr>
        <w:t>通过设立权限组进行权限管理，不同人员的账号归属不同的权限组，当使用不同账号登录后即获得与此用户组相对的权限</w:t>
      </w:r>
    </w:p>
    <w:p>
      <w:pPr>
        <w:numPr>
          <w:ilvl w:val="0"/>
          <w:numId w:val="18"/>
        </w:numPr>
        <w:spacing w:line="360" w:lineRule="auto"/>
        <w:rPr>
          <w:rFonts w:ascii="宋体" w:hAnsi="宋体"/>
        </w:rPr>
      </w:pPr>
      <w:r>
        <w:rPr>
          <w:rFonts w:hint="eastAsia" w:ascii="宋体" w:hAnsi="宋体"/>
        </w:rPr>
        <w:t>管理人员具备全部的权限，同时可对不同账号进行权限管理</w:t>
      </w:r>
    </w:p>
    <w:p>
      <w:pPr>
        <w:spacing w:line="360" w:lineRule="auto"/>
        <w:ind w:firstLine="420" w:firstLineChars="200"/>
        <w:rPr>
          <w:rFonts w:ascii="宋体" w:hAnsi="宋体"/>
        </w:rPr>
      </w:pPr>
    </w:p>
    <w:p>
      <w:pPr>
        <w:pStyle w:val="164"/>
        <w:rPr>
          <w:rFonts w:hAnsi="宋体"/>
          <w:kern w:val="44"/>
          <w:sz w:val="36"/>
          <w:szCs w:val="36"/>
        </w:rPr>
      </w:pPr>
      <w:bookmarkStart w:id="76" w:name="_Toc16865"/>
      <w:bookmarkStart w:id="77" w:name="_Toc489593142"/>
      <w:bookmarkStart w:id="78" w:name="_Toc489593185"/>
      <w:r>
        <w:rPr>
          <w:rFonts w:hint="eastAsia" w:hAnsi="宋体"/>
          <w:kern w:val="44"/>
          <w:sz w:val="36"/>
          <w:szCs w:val="36"/>
        </w:rPr>
        <w:t>第三条 技术协作内容</w:t>
      </w:r>
      <w:bookmarkEnd w:id="55"/>
      <w:bookmarkEnd w:id="56"/>
      <w:bookmarkEnd w:id="57"/>
      <w:bookmarkEnd w:id="58"/>
      <w:bookmarkEnd w:id="76"/>
      <w:bookmarkEnd w:id="77"/>
      <w:bookmarkEnd w:id="78"/>
    </w:p>
    <w:p>
      <w:pPr>
        <w:pStyle w:val="28"/>
        <w:adjustRightInd w:val="0"/>
        <w:spacing w:line="360" w:lineRule="auto"/>
        <w:contextualSpacing/>
        <w:outlineLvl w:val="1"/>
        <w:rPr>
          <w:rFonts w:ascii="宋体" w:hAnsi="宋体" w:cs="Courier New"/>
          <w:b/>
          <w:bCs/>
          <w:sz w:val="24"/>
        </w:rPr>
      </w:pPr>
      <w:bookmarkStart w:id="79" w:name="_Toc489593186"/>
      <w:bookmarkStart w:id="80" w:name="_Toc393482933"/>
      <w:bookmarkStart w:id="81" w:name="_Toc19408"/>
      <w:bookmarkStart w:id="82" w:name="_Toc21199"/>
      <w:bookmarkStart w:id="83" w:name="_Toc28855"/>
      <w:bookmarkStart w:id="84" w:name="_Toc361407878"/>
      <w:bookmarkStart w:id="85" w:name="_Toc393483254"/>
      <w:bookmarkStart w:id="86" w:name="_Toc489593143"/>
      <w:bookmarkStart w:id="87" w:name="_Toc456080782"/>
      <w:bookmarkStart w:id="88" w:name="_Toc393482795"/>
      <w:r>
        <w:rPr>
          <w:rFonts w:hint="eastAsia" w:ascii="宋体" w:hAnsi="宋体" w:cs="Courier New"/>
          <w:b/>
          <w:bCs/>
          <w:sz w:val="24"/>
        </w:rPr>
        <w:t>一</w:t>
      </w:r>
      <w:r>
        <w:rPr>
          <w:rFonts w:ascii="宋体" w:hAnsi="宋体" w:cs="Courier New"/>
          <w:b/>
          <w:bCs/>
          <w:sz w:val="24"/>
        </w:rPr>
        <w:t>、</w:t>
      </w:r>
      <w:r>
        <w:rPr>
          <w:rFonts w:hint="eastAsia" w:ascii="宋体" w:hAnsi="宋体" w:cs="Courier New"/>
          <w:b/>
          <w:bCs/>
          <w:sz w:val="24"/>
        </w:rPr>
        <w:t>甲方的责任及需提供的服务范围</w:t>
      </w:r>
      <w:bookmarkEnd w:id="79"/>
      <w:bookmarkEnd w:id="80"/>
      <w:bookmarkEnd w:id="81"/>
      <w:bookmarkEnd w:id="82"/>
      <w:bookmarkEnd w:id="83"/>
      <w:bookmarkEnd w:id="84"/>
      <w:bookmarkEnd w:id="85"/>
      <w:bookmarkEnd w:id="86"/>
      <w:bookmarkEnd w:id="87"/>
      <w:bookmarkEnd w:id="88"/>
    </w:p>
    <w:p>
      <w:pPr>
        <w:spacing w:line="360" w:lineRule="auto"/>
        <w:ind w:firstLine="480" w:firstLineChars="200"/>
        <w:jc w:val="left"/>
        <w:rPr>
          <w:rFonts w:ascii="宋体" w:hAnsi="宋体"/>
          <w:sz w:val="24"/>
        </w:rPr>
      </w:pPr>
      <w:bookmarkStart w:id="89" w:name="_Toc361407879"/>
      <w:r>
        <w:rPr>
          <w:rFonts w:hint="eastAsia" w:ascii="宋体" w:hAnsi="宋体"/>
          <w:sz w:val="24"/>
        </w:rPr>
        <w:t>1、甲方向乙方提供供电</w:t>
      </w:r>
      <w:r>
        <w:rPr>
          <w:rFonts w:ascii="宋体" w:hAnsi="宋体"/>
          <w:sz w:val="24"/>
        </w:rPr>
        <w:t>系统图，各个柜子</w:t>
      </w:r>
      <w:r>
        <w:rPr>
          <w:rFonts w:hint="eastAsia" w:ascii="宋体" w:hAnsi="宋体"/>
          <w:sz w:val="24"/>
        </w:rPr>
        <w:t>设备端子接线图；</w:t>
      </w:r>
    </w:p>
    <w:p>
      <w:pPr>
        <w:spacing w:line="360" w:lineRule="auto"/>
        <w:ind w:firstLine="480" w:firstLineChars="200"/>
        <w:jc w:val="left"/>
        <w:rPr>
          <w:rFonts w:ascii="宋体" w:hAnsi="宋体"/>
          <w:sz w:val="24"/>
        </w:rPr>
      </w:pPr>
      <w:r>
        <w:rPr>
          <w:rFonts w:hint="eastAsia" w:ascii="宋体" w:hAnsi="宋体"/>
          <w:sz w:val="24"/>
        </w:rPr>
        <w:t>2、甲方在乙方设备安装过程中，协助提供设备安装的足够空间，及系统接入电源；</w:t>
      </w:r>
    </w:p>
    <w:p>
      <w:pPr>
        <w:spacing w:line="360" w:lineRule="auto"/>
        <w:ind w:firstLine="480" w:firstLineChars="200"/>
        <w:jc w:val="left"/>
        <w:rPr>
          <w:rFonts w:ascii="宋体" w:hAnsi="宋体"/>
          <w:sz w:val="24"/>
        </w:rPr>
      </w:pPr>
      <w:r>
        <w:rPr>
          <w:rFonts w:hint="eastAsia" w:ascii="宋体" w:hAnsi="宋体"/>
          <w:sz w:val="24"/>
        </w:rPr>
        <w:t>3、甲方向乙方提供应用系统相关业务资料。配合乙方做好系统安装调试前的各项准备工作，按系统技术规范和要求，派专人积极配合安装，监督安装质量；</w:t>
      </w:r>
    </w:p>
    <w:p>
      <w:pPr>
        <w:spacing w:line="360" w:lineRule="auto"/>
        <w:ind w:firstLine="480" w:firstLineChars="200"/>
        <w:jc w:val="left"/>
        <w:rPr>
          <w:rFonts w:ascii="宋体" w:hAnsi="宋体"/>
          <w:sz w:val="24"/>
        </w:rPr>
      </w:pPr>
      <w:r>
        <w:rPr>
          <w:rFonts w:hint="eastAsia" w:ascii="宋体" w:hAnsi="宋体"/>
          <w:sz w:val="24"/>
        </w:rPr>
        <w:t>4、甲方在乙方所供的系统设备到货后，负责乙方设备的到货验收工作，提供安全存放货物的场地，乙方出入库需要办理出入库手续;</w:t>
      </w:r>
    </w:p>
    <w:p>
      <w:pPr>
        <w:spacing w:line="360" w:lineRule="auto"/>
        <w:ind w:firstLine="480" w:firstLineChars="200"/>
        <w:jc w:val="left"/>
        <w:rPr>
          <w:rFonts w:ascii="宋体" w:hAnsi="宋体"/>
          <w:sz w:val="24"/>
        </w:rPr>
      </w:pPr>
      <w:r>
        <w:rPr>
          <w:rFonts w:hint="eastAsia" w:ascii="宋体" w:hAnsi="宋体"/>
          <w:sz w:val="24"/>
        </w:rPr>
        <w:t>5、甲方在乙方设备安装过程中提供必要的协助，安排固定的项目配合协调人员及技术主管（不少于2人），负责项目实施的全过程的配合；</w:t>
      </w:r>
    </w:p>
    <w:p>
      <w:pPr>
        <w:spacing w:line="360" w:lineRule="auto"/>
        <w:ind w:firstLine="480" w:firstLineChars="200"/>
        <w:jc w:val="left"/>
        <w:rPr>
          <w:rFonts w:ascii="宋体" w:hAnsi="宋体"/>
          <w:sz w:val="24"/>
        </w:rPr>
      </w:pPr>
      <w:r>
        <w:rPr>
          <w:rFonts w:hint="eastAsia" w:ascii="宋体" w:hAnsi="宋体"/>
          <w:sz w:val="24"/>
        </w:rPr>
        <w:t>6、甲方安排人员线缆敷设，乙方指导施工</w:t>
      </w:r>
      <w:r>
        <w:rPr>
          <w:rFonts w:ascii="宋体" w:hAnsi="宋体"/>
          <w:sz w:val="24"/>
        </w:rPr>
        <w:t>，</w:t>
      </w:r>
      <w:r>
        <w:rPr>
          <w:rFonts w:hint="eastAsia" w:ascii="宋体" w:hAnsi="宋体"/>
          <w:sz w:val="24"/>
        </w:rPr>
        <w:t>施工地点不具备线缆敷设条件的由甲方负责完善，甲方为乙方设备提供接入电源。</w:t>
      </w:r>
    </w:p>
    <w:p>
      <w:pPr>
        <w:spacing w:line="360" w:lineRule="auto"/>
        <w:ind w:firstLine="480" w:firstLineChars="200"/>
        <w:jc w:val="left"/>
        <w:rPr>
          <w:rFonts w:ascii="宋体" w:hAnsi="宋体"/>
          <w:sz w:val="24"/>
        </w:rPr>
      </w:pPr>
      <w:r>
        <w:rPr>
          <w:rFonts w:hint="eastAsia" w:ascii="宋体" w:hAnsi="宋体"/>
          <w:sz w:val="24"/>
        </w:rPr>
        <w:t>7、在系统安装、调试完成后，甲方组织进行系统验收工作，出具会议纪要,并负责接管项目内容的日常运行维护工作；</w:t>
      </w:r>
    </w:p>
    <w:p>
      <w:pPr>
        <w:spacing w:line="360" w:lineRule="auto"/>
        <w:ind w:firstLine="480" w:firstLineChars="200"/>
        <w:jc w:val="left"/>
        <w:rPr>
          <w:rFonts w:ascii="宋体" w:hAnsi="宋体"/>
          <w:sz w:val="24"/>
        </w:rPr>
      </w:pPr>
      <w:r>
        <w:rPr>
          <w:rFonts w:hint="eastAsia" w:ascii="宋体" w:hAnsi="宋体"/>
          <w:sz w:val="24"/>
        </w:rPr>
        <w:t>8、甲方在工程实施完成后，按要求指定系统维护人员（2人）到乙方所在地接受乙方专业人员的技术培训。</w:t>
      </w:r>
    </w:p>
    <w:p>
      <w:pPr>
        <w:pStyle w:val="28"/>
        <w:adjustRightInd w:val="0"/>
        <w:spacing w:line="360" w:lineRule="auto"/>
        <w:contextualSpacing/>
        <w:outlineLvl w:val="1"/>
        <w:rPr>
          <w:rFonts w:ascii="宋体" w:hAnsi="宋体" w:cs="Courier New"/>
          <w:b/>
          <w:bCs/>
          <w:sz w:val="24"/>
        </w:rPr>
      </w:pPr>
      <w:bookmarkStart w:id="90" w:name="_Toc23176"/>
      <w:bookmarkStart w:id="91" w:name="_Toc393482934"/>
      <w:bookmarkStart w:id="92" w:name="_Toc489593144"/>
      <w:bookmarkStart w:id="93" w:name="_Toc393482796"/>
      <w:bookmarkStart w:id="94" w:name="_Toc393483255"/>
      <w:bookmarkStart w:id="95" w:name="_Toc1879"/>
      <w:bookmarkStart w:id="96" w:name="_Toc489593187"/>
      <w:bookmarkStart w:id="97" w:name="_Toc456080783"/>
      <w:bookmarkStart w:id="98" w:name="_Toc18384"/>
      <w:r>
        <w:rPr>
          <w:rFonts w:hint="eastAsia" w:ascii="宋体" w:hAnsi="宋体" w:cs="Courier New"/>
          <w:b/>
          <w:bCs/>
          <w:sz w:val="24"/>
        </w:rPr>
        <w:t>二</w:t>
      </w:r>
      <w:r>
        <w:rPr>
          <w:rFonts w:ascii="宋体" w:hAnsi="宋体" w:cs="Courier New"/>
          <w:b/>
          <w:bCs/>
          <w:sz w:val="24"/>
        </w:rPr>
        <w:t>、</w:t>
      </w:r>
      <w:r>
        <w:rPr>
          <w:rFonts w:hint="eastAsia" w:ascii="宋体" w:hAnsi="宋体" w:cs="Courier New"/>
          <w:b/>
          <w:bCs/>
          <w:sz w:val="24"/>
        </w:rPr>
        <w:t>乙方提供的服务范围</w:t>
      </w:r>
      <w:bookmarkEnd w:id="89"/>
      <w:bookmarkEnd w:id="90"/>
      <w:bookmarkEnd w:id="91"/>
      <w:bookmarkEnd w:id="92"/>
      <w:bookmarkEnd w:id="93"/>
      <w:bookmarkEnd w:id="94"/>
      <w:bookmarkEnd w:id="95"/>
      <w:bookmarkEnd w:id="96"/>
      <w:bookmarkEnd w:id="97"/>
      <w:bookmarkEnd w:id="98"/>
    </w:p>
    <w:p>
      <w:pPr>
        <w:spacing w:line="360" w:lineRule="auto"/>
        <w:ind w:firstLine="480"/>
        <w:rPr>
          <w:rFonts w:ascii="宋体" w:hAnsi="宋体"/>
          <w:sz w:val="24"/>
        </w:rPr>
      </w:pPr>
      <w:bookmarkStart w:id="99" w:name="_Toc393483256"/>
      <w:bookmarkStart w:id="100" w:name="_Toc393482797"/>
      <w:bookmarkStart w:id="101" w:name="_Toc393482935"/>
      <w:r>
        <w:rPr>
          <w:rFonts w:hint="eastAsia" w:ascii="宋体" w:hAnsi="宋体"/>
          <w:sz w:val="24"/>
        </w:rPr>
        <w:t>1、按《项目设备清单》规定的规格数量保质保量向甲方供货，设备包装必须符合国际、国内标准，满足运输和包装要求，并有中文标识，确保设备完好送达指定地点，在设备正式移交之前负责设备的保管。</w:t>
      </w:r>
    </w:p>
    <w:p>
      <w:pPr>
        <w:spacing w:line="360" w:lineRule="auto"/>
        <w:ind w:firstLine="480"/>
        <w:rPr>
          <w:rFonts w:ascii="宋体" w:hAnsi="宋体"/>
          <w:sz w:val="24"/>
        </w:rPr>
      </w:pPr>
      <w:r>
        <w:rPr>
          <w:rFonts w:hint="eastAsia" w:ascii="宋体" w:hAnsi="宋体"/>
          <w:sz w:val="24"/>
        </w:rPr>
        <w:t>2、成立专业项目组，并提交项目组人员资质；</w:t>
      </w:r>
    </w:p>
    <w:p>
      <w:pPr>
        <w:spacing w:line="360" w:lineRule="auto"/>
        <w:ind w:firstLine="480"/>
        <w:rPr>
          <w:rFonts w:ascii="宋体" w:hAnsi="宋体"/>
          <w:sz w:val="24"/>
        </w:rPr>
      </w:pPr>
      <w:r>
        <w:rPr>
          <w:rFonts w:hint="eastAsia" w:ascii="宋体" w:hAnsi="宋体"/>
          <w:sz w:val="24"/>
        </w:rPr>
        <w:t>3、供货中若出现质量问题和数量问题，在乙方联系确认后应在系统安装完成前更换和补足。</w:t>
      </w:r>
    </w:p>
    <w:p>
      <w:pPr>
        <w:spacing w:line="360" w:lineRule="auto"/>
        <w:ind w:firstLine="480"/>
        <w:rPr>
          <w:rFonts w:ascii="宋体" w:hAnsi="宋体"/>
          <w:sz w:val="24"/>
        </w:rPr>
      </w:pPr>
      <w:r>
        <w:rPr>
          <w:rFonts w:hint="eastAsia" w:ascii="宋体" w:hAnsi="宋体"/>
          <w:sz w:val="24"/>
        </w:rPr>
        <w:t>4、乙方免费负责完成对甲方技术人员的技术培训，现场培训在安装过程中进行。</w:t>
      </w:r>
    </w:p>
    <w:p>
      <w:pPr>
        <w:spacing w:line="360" w:lineRule="auto"/>
        <w:ind w:firstLine="480"/>
        <w:rPr>
          <w:rFonts w:ascii="宋体" w:hAnsi="宋体"/>
          <w:sz w:val="24"/>
        </w:rPr>
      </w:pPr>
      <w:r>
        <w:rPr>
          <w:rFonts w:hint="eastAsia" w:ascii="宋体" w:hAnsi="宋体"/>
          <w:sz w:val="24"/>
        </w:rPr>
        <w:t>5、乙方完成所供软硬件设备的系统安装、调试工作，并撰写安装调试报告，参与甲方组织的系统验收移交工作。</w:t>
      </w:r>
    </w:p>
    <w:p>
      <w:pPr>
        <w:spacing w:line="360" w:lineRule="auto"/>
        <w:ind w:firstLine="480"/>
        <w:rPr>
          <w:rFonts w:ascii="宋体" w:hAnsi="宋体"/>
          <w:sz w:val="24"/>
        </w:rPr>
      </w:pPr>
      <w:r>
        <w:rPr>
          <w:rFonts w:hint="eastAsia" w:ascii="宋体" w:hAnsi="宋体"/>
          <w:sz w:val="24"/>
        </w:rPr>
        <w:t>6、乙方对所提供的</w:t>
      </w:r>
      <w:r>
        <w:rPr>
          <w:rFonts w:hint="eastAsia"/>
          <w:sz w:val="24"/>
        </w:rPr>
        <w:t>系统及设备保修一年</w:t>
      </w:r>
      <w:r>
        <w:rPr>
          <w:rFonts w:hint="eastAsia" w:ascii="宋体" w:hAnsi="宋体"/>
          <w:sz w:val="24"/>
        </w:rPr>
        <w:t>，保修日期从工程竣工验收后资料提交之日起计算。</w:t>
      </w:r>
    </w:p>
    <w:p>
      <w:pPr>
        <w:spacing w:line="360" w:lineRule="auto"/>
        <w:ind w:firstLine="480"/>
        <w:rPr>
          <w:rFonts w:ascii="宋体" w:hAnsi="宋体"/>
          <w:sz w:val="24"/>
        </w:rPr>
      </w:pPr>
      <w:r>
        <w:rPr>
          <w:rFonts w:hint="eastAsia" w:ascii="宋体" w:hAnsi="宋体"/>
          <w:sz w:val="24"/>
        </w:rPr>
        <w:t>7、在工程竣工验收完毕后，乙方对所提供的设备免费长期提供软件升级扩展服务。</w:t>
      </w:r>
    </w:p>
    <w:p>
      <w:pPr>
        <w:spacing w:line="360" w:lineRule="auto"/>
        <w:ind w:firstLine="480"/>
        <w:rPr>
          <w:rFonts w:ascii="宋体" w:hAnsi="宋体"/>
          <w:sz w:val="24"/>
        </w:rPr>
      </w:pPr>
      <w:r>
        <w:rPr>
          <w:rFonts w:hint="eastAsia" w:ascii="宋体" w:hAnsi="宋体"/>
          <w:sz w:val="24"/>
        </w:rPr>
        <w:t>8、工程竣工后，乙方应向甲方提供完整的系统竣工资料（包含光盘资料）。</w:t>
      </w:r>
    </w:p>
    <w:p>
      <w:pPr>
        <w:spacing w:line="360" w:lineRule="auto"/>
        <w:ind w:firstLine="480"/>
        <w:rPr>
          <w:rFonts w:ascii="宋体" w:hAnsi="宋体"/>
          <w:sz w:val="24"/>
        </w:rPr>
      </w:pPr>
      <w:r>
        <w:rPr>
          <w:rFonts w:hint="eastAsia" w:ascii="宋体" w:hAnsi="宋体"/>
          <w:sz w:val="24"/>
        </w:rPr>
        <w:t>9、乙方设计开发的应用软件系统如涉及到与综合业务平台的应用系统接口问题，乙方负责提供接口协议标准。</w:t>
      </w:r>
    </w:p>
    <w:p>
      <w:pPr>
        <w:spacing w:line="360" w:lineRule="auto"/>
        <w:ind w:firstLine="480"/>
        <w:rPr>
          <w:rFonts w:ascii="宋体" w:hAnsi="宋体"/>
          <w:sz w:val="24"/>
        </w:rPr>
      </w:pPr>
      <w:r>
        <w:rPr>
          <w:rFonts w:hint="eastAsia" w:ascii="宋体" w:hAnsi="宋体"/>
          <w:sz w:val="24"/>
        </w:rPr>
        <w:t>10、在质保期内所有设备存有质量问题，乙方负责免费更换（人为损坏除外）；质保期满后，以不高于合同价格向甲方长期提供系统配件、备件。</w:t>
      </w:r>
    </w:p>
    <w:p>
      <w:pPr>
        <w:pStyle w:val="376"/>
        <w:numPr>
          <w:ilvl w:val="0"/>
          <w:numId w:val="19"/>
        </w:numPr>
        <w:spacing w:line="520" w:lineRule="exact"/>
        <w:ind w:firstLineChars="0"/>
        <w:rPr>
          <w:rFonts w:ascii="宋体" w:hAnsi="宋体"/>
          <w:sz w:val="24"/>
        </w:rPr>
      </w:pPr>
      <w:r>
        <w:rPr>
          <w:rFonts w:hAnsi="宋体"/>
          <w:kern w:val="44"/>
          <w:sz w:val="36"/>
          <w:szCs w:val="36"/>
        </w:rPr>
        <w:br w:type="page"/>
      </w:r>
      <w:bookmarkEnd w:id="99"/>
      <w:bookmarkEnd w:id="100"/>
      <w:bookmarkEnd w:id="101"/>
      <w:bookmarkStart w:id="102" w:name="_Toc21547"/>
      <w:bookmarkStart w:id="103" w:name="_Toc393483305"/>
      <w:bookmarkStart w:id="104" w:name="_Toc456080797"/>
      <w:bookmarkStart w:id="105" w:name="_Toc393482846"/>
      <w:bookmarkStart w:id="106" w:name="_Toc14376"/>
      <w:bookmarkStart w:id="107" w:name="_Toc393482984"/>
      <w:bookmarkStart w:id="108" w:name="_Toc6645"/>
    </w:p>
    <w:p>
      <w:pPr>
        <w:pStyle w:val="164"/>
        <w:rPr>
          <w:rFonts w:hAnsi="宋体"/>
          <w:kern w:val="44"/>
          <w:sz w:val="36"/>
          <w:szCs w:val="36"/>
        </w:rPr>
      </w:pPr>
      <w:bookmarkStart w:id="109" w:name="_Toc489593148"/>
      <w:bookmarkStart w:id="110" w:name="_Toc489593191"/>
      <w:bookmarkStart w:id="111" w:name="_Toc8586"/>
      <w:r>
        <w:rPr>
          <w:rFonts w:hAnsi="宋体"/>
          <w:kern w:val="44"/>
          <w:sz w:val="36"/>
          <w:szCs w:val="36"/>
        </w:rPr>
        <w:t>第</w:t>
      </w:r>
      <w:r>
        <w:rPr>
          <w:rFonts w:hint="eastAsia" w:hAnsi="宋体"/>
          <w:kern w:val="44"/>
          <w:sz w:val="36"/>
          <w:szCs w:val="36"/>
        </w:rPr>
        <w:t>四</w:t>
      </w:r>
      <w:r>
        <w:rPr>
          <w:rFonts w:hAnsi="宋体"/>
          <w:kern w:val="44"/>
          <w:sz w:val="36"/>
          <w:szCs w:val="36"/>
        </w:rPr>
        <w:t>条 技术培训和技术支持</w:t>
      </w:r>
      <w:bookmarkEnd w:id="102"/>
      <w:bookmarkEnd w:id="103"/>
      <w:bookmarkEnd w:id="104"/>
      <w:bookmarkEnd w:id="105"/>
      <w:bookmarkEnd w:id="106"/>
      <w:bookmarkEnd w:id="107"/>
      <w:bookmarkEnd w:id="108"/>
      <w:bookmarkEnd w:id="109"/>
      <w:bookmarkEnd w:id="110"/>
      <w:bookmarkEnd w:id="111"/>
    </w:p>
    <w:p>
      <w:pPr>
        <w:pStyle w:val="167"/>
        <w:spacing w:before="156" w:beforeLines="50" w:after="156" w:afterLines="50" w:line="360" w:lineRule="auto"/>
        <w:ind w:firstLine="0" w:firstLineChars="0"/>
        <w:outlineLvl w:val="1"/>
        <w:rPr>
          <w:rFonts w:hAnsi="宋体" w:cs="Times New Roman"/>
          <w:b/>
          <w:bCs/>
          <w:kern w:val="2"/>
          <w:sz w:val="28"/>
          <w:szCs w:val="20"/>
        </w:rPr>
      </w:pPr>
      <w:bookmarkStart w:id="112" w:name="_Toc130208861"/>
      <w:bookmarkStart w:id="113" w:name="_Toc129633154"/>
      <w:bookmarkStart w:id="114" w:name="_Toc393483307"/>
      <w:bookmarkStart w:id="115" w:name="_Toc358548891"/>
      <w:bookmarkStart w:id="116" w:name="_Toc222716047"/>
      <w:bookmarkStart w:id="117" w:name="_Toc132013770"/>
      <w:bookmarkStart w:id="118" w:name="_Toc222715825"/>
      <w:bookmarkStart w:id="119" w:name="_Toc392689705"/>
      <w:bookmarkStart w:id="120" w:name="_Toc392746400"/>
      <w:bookmarkStart w:id="121" w:name="_Toc393482986"/>
      <w:bookmarkStart w:id="122" w:name="_Toc250366092"/>
      <w:bookmarkStart w:id="123" w:name="_Toc393482848"/>
      <w:bookmarkStart w:id="124" w:name="_Toc130198098"/>
      <w:bookmarkStart w:id="125" w:name="_Toc133118449"/>
      <w:bookmarkStart w:id="126" w:name="_Toc130197920"/>
      <w:bookmarkStart w:id="127" w:name="_Toc392690563"/>
      <w:bookmarkStart w:id="128" w:name="_Toc48064995"/>
      <w:bookmarkStart w:id="129" w:name="_Toc489593192"/>
      <w:bookmarkStart w:id="130" w:name="_Toc11981"/>
      <w:bookmarkStart w:id="131" w:name="_Toc25429"/>
      <w:bookmarkStart w:id="132" w:name="_Toc18640"/>
      <w:bookmarkStart w:id="133" w:name="_Toc456080798"/>
      <w:bookmarkStart w:id="134" w:name="_Toc394079778"/>
      <w:bookmarkStart w:id="135" w:name="_Toc489593149"/>
      <w:r>
        <w:rPr>
          <w:rFonts w:hint="eastAsia" w:hAnsi="宋体" w:cs="Times New Roman"/>
          <w:b/>
          <w:bCs/>
          <w:kern w:val="2"/>
          <w:sz w:val="28"/>
          <w:szCs w:val="20"/>
        </w:rPr>
        <w:t>一、</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Start w:id="136" w:name="_Toc222715826"/>
      <w:bookmarkStart w:id="137" w:name="_Toc222716048"/>
      <w:bookmarkStart w:id="138" w:name="_Toc392690564"/>
      <w:bookmarkStart w:id="139" w:name="_Toc393482987"/>
      <w:bookmarkStart w:id="140" w:name="_Toc392746401"/>
      <w:bookmarkStart w:id="141" w:name="_Toc393482849"/>
      <w:bookmarkStart w:id="142" w:name="_Toc358548892"/>
      <w:bookmarkStart w:id="143" w:name="_Toc392689706"/>
      <w:bookmarkStart w:id="144" w:name="_Toc132013771"/>
      <w:bookmarkStart w:id="145" w:name="_Toc48064996"/>
      <w:bookmarkStart w:id="146" w:name="_Toc133118450"/>
      <w:bookmarkStart w:id="147" w:name="_Toc250366093"/>
      <w:bookmarkStart w:id="148" w:name="_Toc393483308"/>
      <w:r>
        <w:rPr>
          <w:rFonts w:hint="eastAsia" w:hAnsi="宋体" w:cs="Times New Roman"/>
          <w:b/>
          <w:bCs/>
          <w:kern w:val="2"/>
          <w:sz w:val="28"/>
          <w:szCs w:val="20"/>
        </w:rPr>
        <w:t>培训计划</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tbl>
      <w:tblPr>
        <w:tblStyle w:val="74"/>
        <w:tblpPr w:leftFromText="180" w:rightFromText="180" w:vertAnchor="text" w:horzAnchor="margin" w:tblpY="46"/>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708"/>
        <w:gridCol w:w="751"/>
        <w:gridCol w:w="1604"/>
        <w:gridCol w:w="1276"/>
        <w:gridCol w:w="639"/>
        <w:gridCol w:w="945"/>
        <w:gridCol w:w="815"/>
        <w:gridCol w:w="719"/>
        <w:gridCol w:w="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492"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序号</w:t>
            </w:r>
          </w:p>
        </w:tc>
        <w:tc>
          <w:tcPr>
            <w:tcW w:w="708"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培训时间</w:t>
            </w:r>
          </w:p>
        </w:tc>
        <w:tc>
          <w:tcPr>
            <w:tcW w:w="751"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培训地点</w:t>
            </w:r>
          </w:p>
        </w:tc>
        <w:tc>
          <w:tcPr>
            <w:tcW w:w="1604"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培训内容</w:t>
            </w:r>
          </w:p>
        </w:tc>
        <w:tc>
          <w:tcPr>
            <w:tcW w:w="1276"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培训对象</w:t>
            </w:r>
          </w:p>
        </w:tc>
        <w:tc>
          <w:tcPr>
            <w:tcW w:w="639"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培训课时</w:t>
            </w:r>
          </w:p>
        </w:tc>
        <w:tc>
          <w:tcPr>
            <w:tcW w:w="1760" w:type="dxa"/>
            <w:gridSpan w:val="2"/>
            <w:tcBorders>
              <w:bottom w:val="single" w:color="auto" w:sz="4" w:space="0"/>
            </w:tcBorders>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培训师构成</w:t>
            </w:r>
          </w:p>
        </w:tc>
        <w:tc>
          <w:tcPr>
            <w:tcW w:w="719"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培训方式</w:t>
            </w:r>
          </w:p>
        </w:tc>
        <w:tc>
          <w:tcPr>
            <w:tcW w:w="671" w:type="dxa"/>
            <w:vMerge w:val="restart"/>
            <w:vAlign w:val="center"/>
          </w:tcPr>
          <w:p>
            <w:pPr>
              <w:pStyle w:val="42"/>
              <w:spacing w:line="260" w:lineRule="exact"/>
              <w:ind w:left="0" w:leftChars="0"/>
              <w:jc w:val="center"/>
              <w:rPr>
                <w:rFonts w:ascii="宋体" w:hAnsi="宋体" w:cs="Calibri"/>
                <w:b/>
                <w:bCs/>
                <w:kern w:val="0"/>
              </w:rPr>
            </w:pPr>
            <w:r>
              <w:rPr>
                <w:rFonts w:hint="eastAsia" w:ascii="宋体" w:hAnsi="宋体" w:cs="宋体"/>
                <w:b/>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492" w:type="dxa"/>
            <w:vMerge w:val="continue"/>
            <w:vAlign w:val="center"/>
          </w:tcPr>
          <w:p>
            <w:pPr>
              <w:rPr>
                <w:rFonts w:ascii="宋体" w:hAnsi="宋体"/>
              </w:rPr>
            </w:pPr>
          </w:p>
        </w:tc>
        <w:tc>
          <w:tcPr>
            <w:tcW w:w="708" w:type="dxa"/>
            <w:vMerge w:val="continue"/>
            <w:vAlign w:val="center"/>
          </w:tcPr>
          <w:p>
            <w:pPr>
              <w:rPr>
                <w:rFonts w:ascii="宋体" w:hAnsi="宋体"/>
              </w:rPr>
            </w:pPr>
          </w:p>
        </w:tc>
        <w:tc>
          <w:tcPr>
            <w:tcW w:w="751" w:type="dxa"/>
            <w:vMerge w:val="continue"/>
            <w:vAlign w:val="center"/>
          </w:tcPr>
          <w:p>
            <w:pPr>
              <w:rPr>
                <w:rFonts w:ascii="宋体" w:hAnsi="宋体"/>
              </w:rPr>
            </w:pPr>
          </w:p>
        </w:tc>
        <w:tc>
          <w:tcPr>
            <w:tcW w:w="1604" w:type="dxa"/>
            <w:vMerge w:val="continue"/>
            <w:vAlign w:val="center"/>
          </w:tcPr>
          <w:p>
            <w:pPr>
              <w:rPr>
                <w:rFonts w:ascii="宋体" w:hAnsi="宋体"/>
              </w:rPr>
            </w:pPr>
          </w:p>
        </w:tc>
        <w:tc>
          <w:tcPr>
            <w:tcW w:w="1276" w:type="dxa"/>
            <w:vMerge w:val="continue"/>
            <w:vAlign w:val="center"/>
          </w:tcPr>
          <w:p>
            <w:pPr>
              <w:rPr>
                <w:rFonts w:ascii="宋体" w:hAnsi="宋体"/>
              </w:rPr>
            </w:pPr>
          </w:p>
        </w:tc>
        <w:tc>
          <w:tcPr>
            <w:tcW w:w="639" w:type="dxa"/>
            <w:vMerge w:val="continue"/>
            <w:vAlign w:val="center"/>
          </w:tcPr>
          <w:p>
            <w:pPr>
              <w:rPr>
                <w:rFonts w:ascii="宋体" w:hAnsi="宋体"/>
              </w:rPr>
            </w:pPr>
          </w:p>
        </w:tc>
        <w:tc>
          <w:tcPr>
            <w:tcW w:w="945" w:type="dxa"/>
            <w:vAlign w:val="center"/>
          </w:tcPr>
          <w:p>
            <w:pPr>
              <w:pStyle w:val="42"/>
              <w:spacing w:line="260" w:lineRule="exact"/>
              <w:ind w:left="0" w:leftChars="0"/>
              <w:jc w:val="center"/>
              <w:rPr>
                <w:rFonts w:ascii="宋体" w:hAnsi="宋体" w:cs="宋体"/>
                <w:b/>
                <w:bCs/>
                <w:kern w:val="0"/>
              </w:rPr>
            </w:pPr>
            <w:r>
              <w:rPr>
                <w:rFonts w:hint="eastAsia" w:ascii="宋体" w:hAnsi="宋体" w:cs="宋体"/>
                <w:b/>
                <w:bCs/>
                <w:kern w:val="0"/>
              </w:rPr>
              <w:t>职称</w:t>
            </w:r>
          </w:p>
        </w:tc>
        <w:tc>
          <w:tcPr>
            <w:tcW w:w="815" w:type="dxa"/>
            <w:vAlign w:val="center"/>
          </w:tcPr>
          <w:p>
            <w:pPr>
              <w:pStyle w:val="42"/>
              <w:spacing w:line="260" w:lineRule="exact"/>
              <w:ind w:left="0" w:leftChars="0"/>
              <w:jc w:val="center"/>
              <w:rPr>
                <w:rFonts w:ascii="宋体" w:hAnsi="宋体" w:cs="宋体"/>
                <w:b/>
                <w:bCs/>
                <w:kern w:val="0"/>
              </w:rPr>
            </w:pPr>
            <w:r>
              <w:rPr>
                <w:rFonts w:hint="eastAsia" w:ascii="宋体" w:hAnsi="宋体" w:cs="宋体"/>
                <w:b/>
                <w:bCs/>
                <w:kern w:val="0"/>
              </w:rPr>
              <w:t>人数</w:t>
            </w:r>
          </w:p>
        </w:tc>
        <w:tc>
          <w:tcPr>
            <w:tcW w:w="719" w:type="dxa"/>
            <w:vMerge w:val="continue"/>
            <w:vAlign w:val="center"/>
          </w:tcPr>
          <w:p>
            <w:pPr>
              <w:rPr>
                <w:rFonts w:ascii="宋体" w:hAnsi="宋体"/>
              </w:rPr>
            </w:pPr>
          </w:p>
        </w:tc>
        <w:tc>
          <w:tcPr>
            <w:tcW w:w="671" w:type="dxa"/>
            <w:vMerge w:val="continue"/>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p>
        </w:tc>
        <w:tc>
          <w:tcPr>
            <w:tcW w:w="708"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r>
              <w:rPr>
                <w:rFonts w:hint="eastAsia" w:ascii="宋体" w:hAnsi="宋体" w:cs="宋体"/>
                <w:kern w:val="0"/>
              </w:rPr>
              <w:t>天</w:t>
            </w:r>
          </w:p>
        </w:tc>
        <w:tc>
          <w:tcPr>
            <w:tcW w:w="751"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冬瓜山铜矿</w:t>
            </w:r>
          </w:p>
        </w:tc>
        <w:tc>
          <w:tcPr>
            <w:tcW w:w="1604" w:type="dxa"/>
            <w:vAlign w:val="center"/>
          </w:tcPr>
          <w:p>
            <w:pPr>
              <w:pStyle w:val="42"/>
              <w:spacing w:line="260" w:lineRule="exact"/>
              <w:ind w:left="0" w:leftChars="0"/>
              <w:jc w:val="center"/>
              <w:rPr>
                <w:rFonts w:ascii="宋体" w:hAnsi="宋体" w:cs="Calibri"/>
                <w:color w:val="FF0000"/>
                <w:kern w:val="0"/>
              </w:rPr>
            </w:pPr>
            <w:r>
              <w:rPr>
                <w:rFonts w:hint="eastAsia" w:ascii="宋体" w:hAnsi="宋体" w:cs="宋体"/>
                <w:kern w:val="0"/>
              </w:rPr>
              <w:t>上位机</w:t>
            </w:r>
            <w:r>
              <w:rPr>
                <w:rFonts w:ascii="宋体" w:hAnsi="宋体" w:cs="宋体"/>
                <w:kern w:val="0"/>
              </w:rPr>
              <w:t>软件组态</w:t>
            </w:r>
            <w:r>
              <w:rPr>
                <w:rFonts w:hint="eastAsia" w:ascii="宋体" w:hAnsi="宋体" w:cs="宋体"/>
                <w:kern w:val="0"/>
              </w:rPr>
              <w:t>和调试</w:t>
            </w:r>
          </w:p>
        </w:tc>
        <w:tc>
          <w:tcPr>
            <w:tcW w:w="1276"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系统维护、管理人员</w:t>
            </w:r>
          </w:p>
        </w:tc>
        <w:tc>
          <w:tcPr>
            <w:tcW w:w="639"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4</w:t>
            </w:r>
          </w:p>
        </w:tc>
        <w:tc>
          <w:tcPr>
            <w:tcW w:w="94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工程师</w:t>
            </w:r>
          </w:p>
        </w:tc>
        <w:tc>
          <w:tcPr>
            <w:tcW w:w="81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p>
        </w:tc>
        <w:tc>
          <w:tcPr>
            <w:tcW w:w="719"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理论</w:t>
            </w:r>
            <w:r>
              <w:rPr>
                <w:rFonts w:hint="eastAsia" w:ascii="宋体" w:hAnsi="宋体" w:cs="Calibri"/>
                <w:kern w:val="0"/>
              </w:rPr>
              <w:t>+实操</w:t>
            </w:r>
          </w:p>
        </w:tc>
        <w:tc>
          <w:tcPr>
            <w:tcW w:w="671"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分上下午进行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492"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2</w:t>
            </w:r>
          </w:p>
        </w:tc>
        <w:tc>
          <w:tcPr>
            <w:tcW w:w="708"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r>
              <w:rPr>
                <w:rFonts w:hint="eastAsia" w:ascii="宋体" w:hAnsi="宋体" w:cs="宋体"/>
                <w:kern w:val="0"/>
              </w:rPr>
              <w:t>天</w:t>
            </w:r>
          </w:p>
        </w:tc>
        <w:tc>
          <w:tcPr>
            <w:tcW w:w="751"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冬瓜山铜矿</w:t>
            </w:r>
          </w:p>
        </w:tc>
        <w:tc>
          <w:tcPr>
            <w:tcW w:w="1604"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可编程控制器（PLC）组态和调试</w:t>
            </w:r>
          </w:p>
        </w:tc>
        <w:tc>
          <w:tcPr>
            <w:tcW w:w="1276"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系统维护、管理人员</w:t>
            </w:r>
          </w:p>
        </w:tc>
        <w:tc>
          <w:tcPr>
            <w:tcW w:w="639"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4</w:t>
            </w:r>
          </w:p>
        </w:tc>
        <w:tc>
          <w:tcPr>
            <w:tcW w:w="94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工程师</w:t>
            </w:r>
          </w:p>
        </w:tc>
        <w:tc>
          <w:tcPr>
            <w:tcW w:w="81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p>
        </w:tc>
        <w:tc>
          <w:tcPr>
            <w:tcW w:w="719"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理论</w:t>
            </w:r>
            <w:r>
              <w:rPr>
                <w:rFonts w:hint="eastAsia" w:ascii="宋体" w:hAnsi="宋体" w:cs="Calibri"/>
                <w:kern w:val="0"/>
              </w:rPr>
              <w:t>+实操</w:t>
            </w:r>
          </w:p>
        </w:tc>
        <w:tc>
          <w:tcPr>
            <w:tcW w:w="671"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分上下午进行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92"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3</w:t>
            </w:r>
          </w:p>
        </w:tc>
        <w:tc>
          <w:tcPr>
            <w:tcW w:w="708"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r>
              <w:rPr>
                <w:rFonts w:hint="eastAsia" w:ascii="宋体" w:hAnsi="宋体" w:cs="宋体"/>
                <w:kern w:val="0"/>
              </w:rPr>
              <w:t>天</w:t>
            </w:r>
          </w:p>
        </w:tc>
        <w:tc>
          <w:tcPr>
            <w:tcW w:w="751"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冬瓜山铜矿</w:t>
            </w:r>
          </w:p>
        </w:tc>
        <w:tc>
          <w:tcPr>
            <w:tcW w:w="1604"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控制系统操作</w:t>
            </w:r>
          </w:p>
        </w:tc>
        <w:tc>
          <w:tcPr>
            <w:tcW w:w="1276"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系统维护、管理人员</w:t>
            </w:r>
          </w:p>
        </w:tc>
        <w:tc>
          <w:tcPr>
            <w:tcW w:w="639"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4</w:t>
            </w:r>
          </w:p>
        </w:tc>
        <w:tc>
          <w:tcPr>
            <w:tcW w:w="94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工程师</w:t>
            </w:r>
          </w:p>
        </w:tc>
        <w:tc>
          <w:tcPr>
            <w:tcW w:w="815" w:type="dxa"/>
            <w:vAlign w:val="center"/>
          </w:tcPr>
          <w:p>
            <w:pPr>
              <w:pStyle w:val="42"/>
              <w:spacing w:line="260" w:lineRule="exact"/>
              <w:ind w:left="0" w:leftChars="0"/>
              <w:jc w:val="center"/>
              <w:rPr>
                <w:rFonts w:ascii="宋体" w:hAnsi="宋体" w:cs="Calibri"/>
                <w:kern w:val="0"/>
              </w:rPr>
            </w:pPr>
            <w:r>
              <w:rPr>
                <w:rFonts w:hint="eastAsia" w:ascii="宋体" w:hAnsi="宋体" w:cs="Calibri"/>
                <w:kern w:val="0"/>
              </w:rPr>
              <w:t>1</w:t>
            </w:r>
          </w:p>
        </w:tc>
        <w:tc>
          <w:tcPr>
            <w:tcW w:w="719"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理论</w:t>
            </w:r>
            <w:r>
              <w:rPr>
                <w:rFonts w:hint="eastAsia" w:ascii="宋体" w:hAnsi="宋体" w:cs="Calibri"/>
                <w:kern w:val="0"/>
              </w:rPr>
              <w:t>+</w:t>
            </w:r>
            <w:r>
              <w:rPr>
                <w:rFonts w:hint="eastAsia" w:ascii="宋体" w:hAnsi="宋体" w:cs="宋体"/>
                <w:kern w:val="0"/>
              </w:rPr>
              <w:t>实操</w:t>
            </w:r>
          </w:p>
        </w:tc>
        <w:tc>
          <w:tcPr>
            <w:tcW w:w="671" w:type="dxa"/>
            <w:vAlign w:val="center"/>
          </w:tcPr>
          <w:p>
            <w:pPr>
              <w:pStyle w:val="42"/>
              <w:spacing w:line="260" w:lineRule="exact"/>
              <w:ind w:left="0" w:leftChars="0"/>
              <w:jc w:val="center"/>
              <w:rPr>
                <w:rFonts w:ascii="宋体" w:hAnsi="宋体" w:cs="Calibri"/>
                <w:kern w:val="0"/>
              </w:rPr>
            </w:pPr>
            <w:r>
              <w:rPr>
                <w:rFonts w:hint="eastAsia" w:ascii="宋体" w:hAnsi="宋体" w:cs="宋体"/>
                <w:kern w:val="0"/>
              </w:rPr>
              <w:t>分上下午进行</w:t>
            </w:r>
          </w:p>
        </w:tc>
      </w:tr>
    </w:tbl>
    <w:p>
      <w:pPr>
        <w:pStyle w:val="167"/>
        <w:spacing w:before="156" w:beforeLines="50" w:after="156" w:afterLines="50" w:line="360" w:lineRule="auto"/>
        <w:ind w:firstLine="0" w:firstLineChars="0"/>
        <w:outlineLvl w:val="1"/>
        <w:rPr>
          <w:rFonts w:hAnsi="宋体" w:cs="Times New Roman"/>
          <w:b/>
          <w:bCs/>
          <w:kern w:val="2"/>
          <w:sz w:val="28"/>
          <w:szCs w:val="20"/>
        </w:rPr>
      </w:pPr>
      <w:bookmarkStart w:id="149" w:name="_Toc456080799"/>
      <w:bookmarkStart w:id="150" w:name="_Toc268"/>
      <w:bookmarkStart w:id="151" w:name="_Toc421546025"/>
      <w:bookmarkStart w:id="152" w:name="_Toc29277"/>
      <w:bookmarkStart w:id="153" w:name="_Toc489593150"/>
      <w:bookmarkStart w:id="154" w:name="_Toc7324"/>
      <w:bookmarkStart w:id="155" w:name="_Toc489593193"/>
      <w:bookmarkStart w:id="156" w:name="_Toc393482988"/>
      <w:bookmarkStart w:id="157" w:name="_Toc393483309"/>
      <w:bookmarkStart w:id="158" w:name="_Toc393482850"/>
      <w:r>
        <w:rPr>
          <w:rFonts w:hint="eastAsia" w:hAnsi="宋体" w:cs="Times New Roman"/>
          <w:b/>
          <w:bCs/>
          <w:kern w:val="2"/>
          <w:sz w:val="28"/>
          <w:szCs w:val="20"/>
        </w:rPr>
        <w:t>二、培训效果</w:t>
      </w:r>
      <w:bookmarkEnd w:id="149"/>
      <w:bookmarkEnd w:id="150"/>
      <w:bookmarkEnd w:id="151"/>
      <w:bookmarkEnd w:id="152"/>
      <w:bookmarkEnd w:id="153"/>
      <w:bookmarkEnd w:id="154"/>
      <w:bookmarkEnd w:id="155"/>
    </w:p>
    <w:p>
      <w:pPr>
        <w:spacing w:line="360" w:lineRule="auto"/>
        <w:ind w:firstLine="480" w:firstLineChars="200"/>
        <w:rPr>
          <w:rFonts w:ascii="宋体" w:hAnsi="宋体"/>
          <w:sz w:val="24"/>
        </w:rPr>
      </w:pPr>
      <w:r>
        <w:rPr>
          <w:rFonts w:hint="eastAsia" w:ascii="宋体" w:hAnsi="宋体"/>
          <w:sz w:val="24"/>
        </w:rPr>
        <w:t>1、通过此阶段培训使甲方技术人员能够达到对系统的基本配置、调试以及一般的故障排除，以维护系统的基本运行。</w:t>
      </w:r>
    </w:p>
    <w:p>
      <w:pPr>
        <w:spacing w:line="360" w:lineRule="auto"/>
        <w:ind w:firstLine="480" w:firstLineChars="200"/>
        <w:rPr>
          <w:rFonts w:ascii="宋体" w:hAnsi="宋体"/>
          <w:sz w:val="24"/>
        </w:rPr>
      </w:pPr>
      <w:r>
        <w:rPr>
          <w:rFonts w:hint="eastAsia" w:ascii="宋体" w:hAnsi="宋体"/>
          <w:sz w:val="24"/>
        </w:rPr>
        <w:t>2、培训结束后，培训教师要对学员严格考核，考核可分笔试与操作，两项都合格方可结业，否则，不予结业；考核不合格，由乙方负责继续培训，直至合格。</w:t>
      </w:r>
    </w:p>
    <w:p>
      <w:pPr>
        <w:pStyle w:val="167"/>
        <w:spacing w:before="156" w:beforeLines="50" w:after="156" w:afterLines="50" w:line="360" w:lineRule="auto"/>
        <w:ind w:firstLine="480"/>
        <w:rPr>
          <w:rFonts w:hAnsi="宋体" w:cs="Times New Roman"/>
          <w:bCs/>
          <w:kern w:val="2"/>
        </w:rPr>
      </w:pPr>
    </w:p>
    <w:p>
      <w:pPr>
        <w:pStyle w:val="164"/>
        <w:rPr>
          <w:rFonts w:hAnsi="宋体"/>
          <w:kern w:val="44"/>
          <w:sz w:val="36"/>
          <w:szCs w:val="36"/>
        </w:rPr>
      </w:pPr>
      <w:r>
        <w:rPr>
          <w:rFonts w:hAnsi="宋体"/>
          <w:kern w:val="44"/>
          <w:sz w:val="36"/>
          <w:szCs w:val="36"/>
        </w:rPr>
        <w:br w:type="page"/>
      </w:r>
      <w:bookmarkStart w:id="159" w:name="_Toc489593194"/>
      <w:bookmarkStart w:id="160" w:name="_Toc27199"/>
      <w:bookmarkStart w:id="161" w:name="_Toc9570"/>
      <w:bookmarkStart w:id="162" w:name="_Toc489593151"/>
      <w:bookmarkStart w:id="163" w:name="_Toc20318"/>
      <w:bookmarkStart w:id="164" w:name="_Toc18661"/>
      <w:bookmarkStart w:id="165" w:name="_Toc456080800"/>
      <w:r>
        <w:rPr>
          <w:rFonts w:hAnsi="宋体"/>
          <w:kern w:val="44"/>
          <w:sz w:val="36"/>
          <w:szCs w:val="36"/>
        </w:rPr>
        <w:t>第</w:t>
      </w:r>
      <w:r>
        <w:rPr>
          <w:rFonts w:hint="eastAsia" w:hAnsi="宋体"/>
          <w:kern w:val="44"/>
          <w:sz w:val="36"/>
          <w:szCs w:val="36"/>
        </w:rPr>
        <w:t>五</w:t>
      </w:r>
      <w:r>
        <w:rPr>
          <w:rFonts w:hAnsi="宋体"/>
          <w:kern w:val="44"/>
          <w:sz w:val="36"/>
          <w:szCs w:val="36"/>
        </w:rPr>
        <w:t>条</w:t>
      </w:r>
      <w:bookmarkStart w:id="166" w:name="_Toc40939403"/>
      <w:r>
        <w:rPr>
          <w:rFonts w:hint="eastAsia" w:hAnsi="宋体"/>
          <w:kern w:val="44"/>
          <w:sz w:val="36"/>
          <w:szCs w:val="36"/>
        </w:rPr>
        <w:t xml:space="preserve"> 售后</w:t>
      </w:r>
      <w:r>
        <w:rPr>
          <w:rFonts w:hAnsi="宋体"/>
          <w:kern w:val="44"/>
          <w:sz w:val="36"/>
          <w:szCs w:val="36"/>
        </w:rPr>
        <w:t>服务响应的承诺</w:t>
      </w:r>
      <w:bookmarkEnd w:id="156"/>
      <w:bookmarkEnd w:id="157"/>
      <w:bookmarkEnd w:id="158"/>
      <w:bookmarkEnd w:id="159"/>
      <w:bookmarkEnd w:id="160"/>
      <w:bookmarkEnd w:id="161"/>
      <w:bookmarkEnd w:id="162"/>
      <w:bookmarkEnd w:id="163"/>
      <w:bookmarkEnd w:id="164"/>
      <w:bookmarkEnd w:id="165"/>
    </w:p>
    <w:bookmarkEnd w:id="166"/>
    <w:p>
      <w:pPr>
        <w:spacing w:line="360" w:lineRule="auto"/>
        <w:ind w:firstLine="480" w:firstLineChars="200"/>
        <w:rPr>
          <w:rFonts w:ascii="宋体" w:hAnsi="宋体"/>
          <w:sz w:val="24"/>
        </w:rPr>
      </w:pPr>
      <w:bookmarkStart w:id="167" w:name="_Toc393482989"/>
      <w:bookmarkStart w:id="168" w:name="_Toc48064998"/>
      <w:bookmarkStart w:id="169" w:name="_Toc393482851"/>
      <w:bookmarkStart w:id="170" w:name="_Toc393483310"/>
      <w:r>
        <w:rPr>
          <w:rFonts w:hint="eastAsia" w:ascii="宋体" w:hAnsi="宋体"/>
          <w:sz w:val="24"/>
        </w:rPr>
        <w:t>1.技术资料和技术图纸</w:t>
      </w:r>
    </w:p>
    <w:p>
      <w:pPr>
        <w:spacing w:line="360" w:lineRule="auto"/>
        <w:ind w:firstLine="480" w:firstLineChars="200"/>
        <w:rPr>
          <w:rFonts w:ascii="宋体" w:hAnsi="宋体"/>
          <w:sz w:val="24"/>
        </w:rPr>
      </w:pPr>
      <w:r>
        <w:rPr>
          <w:rFonts w:hint="eastAsia" w:ascii="宋体" w:hAnsi="宋体"/>
          <w:sz w:val="24"/>
        </w:rPr>
        <w:t>乙方须提供其卖出的主（重）要设备的</w:t>
      </w:r>
      <w:r>
        <w:rPr>
          <w:rFonts w:hint="eastAsia" w:ascii="宋体" w:hAnsi="宋体"/>
          <w:sz w:val="24"/>
          <w:lang w:eastAsia="zh-CN"/>
        </w:rPr>
        <w:t>产品合格证</w:t>
      </w:r>
      <w:r>
        <w:rPr>
          <w:rFonts w:hint="eastAsia" w:ascii="宋体" w:hAnsi="宋体"/>
          <w:sz w:val="24"/>
        </w:rPr>
        <w:t>，提供现场调试、性能验收、检验、试运行、运行维护等方面的技术资料。</w:t>
      </w:r>
    </w:p>
    <w:p>
      <w:pPr>
        <w:spacing w:line="360" w:lineRule="auto"/>
        <w:ind w:firstLine="480" w:firstLineChars="200"/>
        <w:rPr>
          <w:rFonts w:ascii="宋体" w:hAnsi="宋体"/>
          <w:sz w:val="24"/>
        </w:rPr>
      </w:pPr>
      <w:r>
        <w:rPr>
          <w:rFonts w:hint="eastAsia" w:ascii="宋体" w:hAnsi="宋体"/>
          <w:sz w:val="24"/>
        </w:rPr>
        <w:t>乙方提供的技术资料包括技术文件、图纸（系统图、原理图、端子图、施工图）、使用说明、设备主要技术参数、软件及其使用手册、操作手册、培训指导书等，竣工资料不少于6套，电子版（word 2007/autocad 2007）一套。。</w:t>
      </w:r>
    </w:p>
    <w:p>
      <w:pPr>
        <w:spacing w:line="360" w:lineRule="auto"/>
        <w:ind w:firstLine="480" w:firstLineChars="200"/>
        <w:rPr>
          <w:rFonts w:ascii="宋体" w:hAnsi="宋体"/>
          <w:sz w:val="24"/>
        </w:rPr>
      </w:pPr>
      <w:r>
        <w:rPr>
          <w:rFonts w:hint="eastAsia" w:ascii="宋体" w:hAnsi="宋体"/>
          <w:sz w:val="24"/>
        </w:rPr>
        <w:t>2.乙应对系统做出详细说明，提供系统使用、管理维护等手册。</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乙方对本项目技术条件中所列明的主要设备，须提供原厂商</w:t>
      </w:r>
      <w:r>
        <w:rPr>
          <w:rFonts w:hint="eastAsia" w:ascii="宋体" w:hAnsi="宋体"/>
          <w:sz w:val="24"/>
          <w:lang w:eastAsia="zh-CN"/>
        </w:rPr>
        <w:t>合格证</w:t>
      </w:r>
      <w:r>
        <w:rPr>
          <w:rFonts w:hint="eastAsia" w:ascii="宋体" w:hAnsi="宋体"/>
          <w:sz w:val="24"/>
        </w:rPr>
        <w:t>，并提供原厂商的售后服务承诺函。</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实施期间，乙方负责系统的综合调试，须对一切与合同有关的供货设备及技术接口、技术服务等问题负全部责任。凡与合同设备相连接的其它设备装置及软件，乙方有提供接口和技术配合的义务，所发生的费用已包含在投标报价中，甲方不承担投标价格以外的任何费用。</w:t>
      </w:r>
    </w:p>
    <w:p>
      <w:pPr>
        <w:spacing w:line="360" w:lineRule="auto"/>
        <w:ind w:firstLine="480" w:firstLineChars="200"/>
        <w:rPr>
          <w:rFonts w:ascii="宋体" w:hAnsi="宋体"/>
          <w:sz w:val="24"/>
        </w:rPr>
      </w:pPr>
      <w:r>
        <w:rPr>
          <w:rFonts w:ascii="宋体" w:hAnsi="宋体"/>
          <w:sz w:val="24"/>
        </w:rPr>
        <w:t>5.</w:t>
      </w:r>
      <w:r>
        <w:rPr>
          <w:rFonts w:hint="eastAsia" w:ascii="宋体" w:hAnsi="宋体"/>
          <w:sz w:val="24"/>
        </w:rPr>
        <w:t>乙方应对甲方指定人员提供系统使用、维护等方面的免费原厂培训，培训时间、地点、方式及人次由甲乙双方共同商议确定。</w:t>
      </w:r>
    </w:p>
    <w:p>
      <w:pPr>
        <w:spacing w:line="360" w:lineRule="auto"/>
        <w:ind w:firstLine="480"/>
        <w:rPr>
          <w:rFonts w:ascii="宋体" w:hAnsi="宋体"/>
          <w:sz w:val="24"/>
        </w:rPr>
      </w:pPr>
      <w:r>
        <w:rPr>
          <w:rFonts w:ascii="宋体" w:hAnsi="宋体"/>
          <w:sz w:val="24"/>
        </w:rPr>
        <w:t>6</w:t>
      </w:r>
      <w:r>
        <w:rPr>
          <w:rFonts w:hint="eastAsia" w:ascii="宋体" w:hAnsi="宋体"/>
          <w:sz w:val="24"/>
        </w:rPr>
        <w:t>.乙方对所提供的</w:t>
      </w:r>
      <w:r>
        <w:rPr>
          <w:rFonts w:hint="eastAsia"/>
          <w:sz w:val="24"/>
        </w:rPr>
        <w:t>系统及设备保修一年</w:t>
      </w:r>
      <w:r>
        <w:rPr>
          <w:rFonts w:hint="eastAsia" w:ascii="宋体" w:hAnsi="宋体"/>
          <w:sz w:val="24"/>
        </w:rPr>
        <w:t>，保修日期从工程竣工验收后资料提交之日起计算。乙方应终身免费提供系统及软件的更新升级和补丁更新服务，并每季度一次到现场进行系统安全检查。</w:t>
      </w:r>
    </w:p>
    <w:p>
      <w:pPr>
        <w:spacing w:line="540" w:lineRule="exact"/>
        <w:ind w:firstLine="480" w:firstLineChars="200"/>
        <w:jc w:val="left"/>
        <w:rPr>
          <w:rFonts w:ascii="宋体" w:hAnsi="宋体"/>
          <w:sz w:val="24"/>
        </w:rPr>
      </w:pPr>
      <w:r>
        <w:rPr>
          <w:rFonts w:ascii="宋体" w:hAnsi="宋体"/>
          <w:sz w:val="24"/>
        </w:rPr>
        <w:t>7</w:t>
      </w:r>
      <w:r>
        <w:rPr>
          <w:rFonts w:hint="eastAsia" w:ascii="宋体" w:hAnsi="宋体"/>
          <w:sz w:val="24"/>
        </w:rPr>
        <w:t>.系统投运后，乙方负责提供7*24小时的技术支持（电话/短信/邮件/网站知识库），当系统出现故障,乙方应在30分钟内对甲方所提出的维修要求作出电话响应，指导用户技术人员做应急处理。通过电话咨询、远程维护等方式无法解决时，维护人员必须在接到通知8小时之内赶到现场，进行维护。</w:t>
      </w:r>
    </w:p>
    <w:p>
      <w:pPr>
        <w:spacing w:line="540" w:lineRule="exact"/>
        <w:ind w:firstLine="480" w:firstLineChars="200"/>
        <w:jc w:val="left"/>
        <w:rPr>
          <w:rFonts w:ascii="宋体" w:hAnsi="宋体"/>
          <w:sz w:val="24"/>
        </w:rPr>
      </w:pPr>
      <w:r>
        <w:rPr>
          <w:rFonts w:ascii="宋体" w:hAnsi="宋体"/>
          <w:sz w:val="24"/>
        </w:rPr>
        <w:t>8</w:t>
      </w:r>
      <w:r>
        <w:rPr>
          <w:rFonts w:hint="eastAsia" w:ascii="宋体" w:hAnsi="宋体"/>
          <w:sz w:val="24"/>
        </w:rPr>
        <w:t>.系统运行过程中如果发生软、硬件故障（非人为损坏的情况下），乙方保证在3个工作日内给甲方提供无故障设备。</w:t>
      </w:r>
    </w:p>
    <w:p>
      <w:pPr>
        <w:spacing w:line="360" w:lineRule="auto"/>
        <w:ind w:firstLine="480" w:firstLineChars="200"/>
        <w:rPr>
          <w:rFonts w:ascii="宋体" w:hAnsi="宋体"/>
          <w:sz w:val="24"/>
        </w:rPr>
      </w:pPr>
      <w:r>
        <w:rPr>
          <w:rFonts w:ascii="宋体" w:hAnsi="宋体"/>
          <w:sz w:val="24"/>
        </w:rPr>
        <w:t>9</w:t>
      </w:r>
      <w:r>
        <w:rPr>
          <w:rFonts w:hint="eastAsia" w:ascii="宋体" w:hAnsi="宋体"/>
          <w:sz w:val="24"/>
        </w:rPr>
        <w:t>.在合同有效期内，如甲方需追加购置合同清单内的设备及其附件时，乙方承诺所提供的设备及其附件的价格，执行合同价格。</w:t>
      </w:r>
    </w:p>
    <w:p>
      <w:pPr>
        <w:spacing w:line="360" w:lineRule="auto"/>
        <w:ind w:firstLine="480" w:firstLineChars="200"/>
        <w:rPr>
          <w:rFonts w:ascii="宋体" w:hAnsi="宋体"/>
          <w:sz w:val="24"/>
        </w:rPr>
        <w:sectPr>
          <w:headerReference r:id="rId4" w:type="default"/>
          <w:footerReference r:id="rId5" w:type="default"/>
          <w:pgSz w:w="11906" w:h="16838"/>
          <w:pgMar w:top="1440" w:right="1797" w:bottom="1440" w:left="1620" w:header="851" w:footer="992" w:gutter="0"/>
          <w:pgNumType w:start="1"/>
          <w:cols w:space="720" w:num="1"/>
          <w:docGrid w:type="linesAndChars" w:linePitch="312" w:charSpace="0"/>
        </w:sectPr>
      </w:pPr>
    </w:p>
    <w:p>
      <w:pPr>
        <w:pStyle w:val="2"/>
        <w:spacing w:before="100" w:beforeAutospacing="1" w:after="100" w:afterAutospacing="1"/>
        <w:contextualSpacing/>
        <w:rPr>
          <w:rFonts w:hAnsi="宋体" w:cs="宋体"/>
          <w:kern w:val="2"/>
        </w:rPr>
      </w:pPr>
      <w:bookmarkStart w:id="171" w:name="_Toc25112"/>
      <w:bookmarkStart w:id="172" w:name="_Toc16980"/>
      <w:bookmarkStart w:id="173" w:name="_Toc456080801"/>
      <w:bookmarkStart w:id="174" w:name="_Toc489593195"/>
      <w:bookmarkStart w:id="175" w:name="_Toc489593152"/>
      <w:bookmarkStart w:id="176" w:name="_Toc8278"/>
      <w:bookmarkStart w:id="177" w:name="_Toc2989"/>
      <w:r>
        <w:rPr>
          <w:rFonts w:hint="eastAsia" w:hAnsi="宋体" w:cs="宋体"/>
          <w:kern w:val="2"/>
        </w:rPr>
        <w:t>附件：设备清单</w:t>
      </w:r>
      <w:bookmarkEnd w:id="167"/>
      <w:bookmarkEnd w:id="168"/>
      <w:bookmarkEnd w:id="169"/>
      <w:bookmarkEnd w:id="170"/>
      <w:bookmarkEnd w:id="171"/>
      <w:bookmarkEnd w:id="172"/>
      <w:bookmarkEnd w:id="173"/>
      <w:bookmarkEnd w:id="174"/>
      <w:bookmarkEnd w:id="175"/>
      <w:bookmarkEnd w:id="176"/>
      <w:bookmarkEnd w:id="177"/>
    </w:p>
    <w:tbl>
      <w:tblPr>
        <w:tblStyle w:val="74"/>
        <w:tblW w:w="8467" w:type="dxa"/>
        <w:tblInd w:w="100" w:type="dxa"/>
        <w:tblLayout w:type="fixed"/>
        <w:tblCellMar>
          <w:top w:w="0" w:type="dxa"/>
          <w:left w:w="108" w:type="dxa"/>
          <w:bottom w:w="0" w:type="dxa"/>
          <w:right w:w="108" w:type="dxa"/>
        </w:tblCellMar>
      </w:tblPr>
      <w:tblGrid>
        <w:gridCol w:w="690"/>
        <w:gridCol w:w="2250"/>
        <w:gridCol w:w="2737"/>
        <w:gridCol w:w="818"/>
        <w:gridCol w:w="757"/>
        <w:gridCol w:w="1215"/>
      </w:tblGrid>
      <w:tr>
        <w:tblPrEx>
          <w:tblCellMar>
            <w:top w:w="0" w:type="dxa"/>
            <w:left w:w="108" w:type="dxa"/>
            <w:bottom w:w="0" w:type="dxa"/>
            <w:right w:w="108" w:type="dxa"/>
          </w:tblCellMar>
        </w:tblPrEx>
        <w:trPr>
          <w:trHeight w:val="440" w:hRule="atLeast"/>
        </w:trPr>
        <w:tc>
          <w:tcPr>
            <w:tcW w:w="84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一、控制室</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序号</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设备名称</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型号</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数量</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单位</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备注</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工控机</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i7 16G 1T</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研华</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显示器</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r>
              <w:rPr>
                <w:rFonts w:hint="eastAsia" w:ascii="宋体" w:hAnsi="宋体" w:cs="宋体"/>
                <w:color w:val="000000"/>
                <w:kern w:val="0"/>
                <w:sz w:val="22"/>
                <w:lang w:val="en-US" w:eastAsia="zh-CN" w:bidi="ar"/>
              </w:rPr>
              <w:t>4</w:t>
            </w:r>
            <w:r>
              <w:rPr>
                <w:rFonts w:hint="eastAsia" w:ascii="宋体" w:hAnsi="宋体" w:cs="宋体"/>
                <w:color w:val="000000"/>
                <w:kern w:val="0"/>
                <w:sz w:val="22"/>
                <w:lang w:bidi="ar"/>
              </w:rPr>
              <w:t>寸</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AOC</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3</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工业交换机</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配套</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4</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操作台</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val="en-US" w:eastAsia="zh-CN" w:bidi="ar"/>
              </w:rPr>
              <w:t>2</w:t>
            </w:r>
            <w:r>
              <w:rPr>
                <w:rFonts w:hint="eastAsia" w:ascii="宋体" w:hAnsi="宋体" w:cs="宋体"/>
                <w:color w:val="000000"/>
                <w:kern w:val="0"/>
                <w:sz w:val="22"/>
                <w:lang w:bidi="ar"/>
              </w:rPr>
              <w:t>工位</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cs="宋体"/>
                <w:color w:val="000000"/>
                <w:kern w:val="0"/>
                <w:sz w:val="22"/>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定制</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5</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办公椅</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配套</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把</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定制</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6</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UPS电源</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6KVA</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山特</w:t>
            </w:r>
          </w:p>
        </w:tc>
      </w:tr>
      <w:tr>
        <w:tblPrEx>
          <w:tblCellMar>
            <w:top w:w="0" w:type="dxa"/>
            <w:left w:w="108" w:type="dxa"/>
            <w:bottom w:w="0" w:type="dxa"/>
            <w:right w:w="108" w:type="dxa"/>
          </w:tblCellMar>
        </w:tblPrEx>
        <w:trPr>
          <w:trHeight w:val="62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7</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eastAsia="zh-CN" w:bidi="ar"/>
              </w:rPr>
              <w:t>打印机</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sz w:val="22"/>
              </w:rPr>
              <w:t>A4激光</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HP</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2"/>
                <w:lang w:val="en-US" w:eastAsia="zh-CN"/>
              </w:rPr>
            </w:pPr>
            <w:r>
              <w:rPr>
                <w:rFonts w:hint="eastAsia" w:ascii="宋体" w:hAnsi="宋体" w:cs="宋体"/>
                <w:color w:val="000000"/>
                <w:sz w:val="22"/>
                <w:lang w:val="en-US" w:eastAsia="zh-CN"/>
              </w:rPr>
              <w:t>8</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cs="宋体"/>
                <w:color w:val="000000"/>
                <w:sz w:val="22"/>
                <w:lang w:eastAsia="zh-CN"/>
              </w:rPr>
              <w:t>声光警报</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9</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kern w:val="0"/>
                <w:sz w:val="22"/>
                <w:lang w:eastAsia="zh-CN" w:bidi="ar"/>
              </w:rPr>
            </w:pPr>
            <w:r>
              <w:rPr>
                <w:rFonts w:hint="eastAsia" w:ascii="宋体" w:hAnsi="宋体" w:cs="宋体"/>
                <w:color w:val="000000"/>
                <w:kern w:val="0"/>
                <w:sz w:val="22"/>
                <w:lang w:eastAsia="zh-CN" w:bidi="ar"/>
              </w:rPr>
              <w:t>液晶电视</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75寸</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创维</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cs="宋体"/>
                <w:color w:val="000000"/>
                <w:kern w:val="0"/>
                <w:sz w:val="22"/>
                <w:lang w:val="en-US" w:eastAsia="zh-CN" w:bidi="ar"/>
              </w:rPr>
            </w:pPr>
            <w:r>
              <w:rPr>
                <w:rFonts w:hint="eastAsia" w:ascii="宋体" w:hAnsi="宋体" w:cs="宋体"/>
                <w:color w:val="000000"/>
                <w:kern w:val="0"/>
                <w:sz w:val="22"/>
                <w:lang w:val="en-US" w:eastAsia="zh-CN" w:bidi="ar"/>
              </w:rPr>
              <w:t>10</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eastAsia="zh-CN" w:bidi="ar"/>
              </w:rPr>
            </w:pPr>
            <w:r>
              <w:rPr>
                <w:rFonts w:hint="eastAsia" w:ascii="宋体" w:hAnsi="宋体" w:cs="宋体"/>
                <w:color w:val="000000"/>
                <w:kern w:val="0"/>
                <w:sz w:val="22"/>
                <w:lang w:eastAsia="zh-CN" w:bidi="ar"/>
              </w:rPr>
              <w:t>编程器</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val="en-US" w:eastAsia="zh-CN" w:bidi="ar"/>
              </w:rPr>
            </w:pPr>
            <w:r>
              <w:rPr>
                <w:rFonts w:hint="eastAsia" w:ascii="宋体" w:hAnsi="宋体" w:cs="宋体"/>
                <w:color w:val="000000"/>
                <w:kern w:val="0"/>
                <w:sz w:val="22"/>
                <w:lang w:val="en-US" w:eastAsia="zh-CN" w:bidi="ar"/>
              </w:rPr>
              <w:t>i7,内存8GB,含编程电缆</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cs="宋体"/>
                <w:color w:val="000000"/>
                <w:kern w:val="0"/>
                <w:sz w:val="22"/>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ThinkPad</w:t>
            </w: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2"/>
                <w:lang w:val="en-US" w:eastAsia="zh-CN"/>
              </w:rPr>
            </w:pPr>
            <w:r>
              <w:rPr>
                <w:rFonts w:hint="eastAsia" w:ascii="宋体" w:hAnsi="宋体" w:cs="宋体"/>
                <w:color w:val="000000"/>
                <w:kern w:val="0"/>
                <w:sz w:val="22"/>
                <w:lang w:val="en-US" w:eastAsia="zh-CN" w:bidi="ar"/>
              </w:rPr>
              <w:t>11</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上位机监控软件</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000000"/>
                <w:sz w:val="22"/>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2"/>
                <w:lang w:val="en-US" w:eastAsia="zh-CN"/>
              </w:rPr>
            </w:pPr>
            <w:r>
              <w:rPr>
                <w:rFonts w:hint="eastAsia" w:ascii="宋体" w:hAnsi="宋体" w:cs="宋体"/>
                <w:color w:val="000000"/>
                <w:kern w:val="0"/>
                <w:sz w:val="22"/>
                <w:lang w:val="en-US" w:eastAsia="zh-CN" w:bidi="ar"/>
              </w:rPr>
              <w:t>12</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PLC控制软件</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000000"/>
                <w:sz w:val="22"/>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2"/>
                <w:lang w:eastAsia="zh-CN"/>
              </w:rPr>
            </w:pPr>
            <w:r>
              <w:rPr>
                <w:rFonts w:hint="eastAsia" w:ascii="宋体" w:hAnsi="宋体" w:cs="宋体"/>
                <w:color w:val="000000"/>
                <w:kern w:val="0"/>
                <w:sz w:val="22"/>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p>
        </w:tc>
      </w:tr>
      <w:tr>
        <w:tblPrEx>
          <w:tblCellMar>
            <w:top w:w="0" w:type="dxa"/>
            <w:left w:w="108" w:type="dxa"/>
            <w:bottom w:w="0" w:type="dxa"/>
            <w:right w:w="108" w:type="dxa"/>
          </w:tblCellMar>
        </w:tblPrEx>
        <w:trPr>
          <w:trHeight w:val="3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2"/>
                <w:lang w:val="en-US" w:eastAsia="zh-CN"/>
              </w:rPr>
            </w:pPr>
            <w:r>
              <w:rPr>
                <w:rFonts w:hint="eastAsia" w:ascii="宋体" w:hAnsi="宋体" w:cs="宋体"/>
                <w:color w:val="000000"/>
                <w:kern w:val="0"/>
                <w:sz w:val="22"/>
                <w:lang w:val="en-US" w:eastAsia="zh-CN" w:bidi="ar"/>
              </w:rPr>
              <w:t>13</w:t>
            </w:r>
          </w:p>
        </w:tc>
        <w:tc>
          <w:tcPr>
            <w:tcW w:w="22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辅材</w:t>
            </w:r>
          </w:p>
        </w:tc>
        <w:tc>
          <w:tcPr>
            <w:tcW w:w="27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000000"/>
                <w:sz w:val="22"/>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批</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846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二、现场</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序号</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设备名称</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型号</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数量</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单位</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备注</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lang w:bidi="ar"/>
              </w:rPr>
            </w:pPr>
            <w:r>
              <w:rPr>
                <w:rFonts w:hint="eastAsia" w:ascii="宋体" w:hAnsi="宋体" w:cs="Courier New"/>
                <w:sz w:val="24"/>
                <w:lang w:eastAsia="zh-CN"/>
              </w:rPr>
              <w:t>制备控制站</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800*600*2200（W*D*H）</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2"/>
                <w:lang w:bidi="ar"/>
              </w:rPr>
            </w:pPr>
            <w:r>
              <w:rPr>
                <w:rFonts w:hint="eastAsia" w:ascii="宋体" w:hAnsi="宋体" w:cs="宋体"/>
                <w:color w:val="000000"/>
                <w:kern w:val="0"/>
                <w:sz w:val="22"/>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center"/>
              <w:rPr>
                <w:rFonts w:ascii="宋体" w:hAnsi="宋体" w:cs="宋体"/>
                <w:color w:val="000000"/>
                <w:kern w:val="0"/>
                <w:sz w:val="22"/>
                <w:lang w:bidi="ar"/>
              </w:rPr>
            </w:pP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底板</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6ES7590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2）</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 xml:space="preserve">CPU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6ES7511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3）</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存储卡</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4MB</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4）</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DP模块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 xml:space="preserve">CP1542-5 </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5）</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接口模块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IM 155-6 PN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6）</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以太网接口</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BusAdapter 2xRJ45</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7）</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数字量输入模块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DI 16x24VDC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8）</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数字量输出模块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DQ 16x24VDC/0.5A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9）</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模拟量输入模块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AI 8xI 2-/4-wire BA</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8</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10）</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模拟量输出模块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AQ 4xU/I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前连接器1</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18针</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12）</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前连接器2</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18针</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17</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13）</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继电器</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RJ2S-CL-D24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IDEC</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14）</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端子</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UK2.5N</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410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菲尼克斯</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15）</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电源</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EDR-120-24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明纬</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16）</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以太网交换机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三旺</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17）</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双孔检修插座</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配套</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18）</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浪涌保护器</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DZ47Y402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配套</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19）</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DP头</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20）</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空开</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C65N 10A/2P</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施耐德</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b w:val="0"/>
                <w:bCs w:val="0"/>
                <w:color w:val="000000"/>
                <w:kern w:val="0"/>
                <w:sz w:val="24"/>
                <w:szCs w:val="24"/>
                <w:lang w:bidi="ar"/>
              </w:rPr>
              <w:t>2</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Courier New"/>
                <w:sz w:val="24"/>
                <w:lang w:eastAsia="zh-CN"/>
              </w:rPr>
            </w:pPr>
            <w:r>
              <w:rPr>
                <w:rFonts w:hint="eastAsia" w:ascii="宋体" w:hAnsi="宋体" w:cs="Courier New"/>
                <w:b w:val="0"/>
                <w:bCs w:val="0"/>
                <w:sz w:val="24"/>
              </w:rPr>
              <w:t>回水泵房和配电室</w:t>
            </w:r>
            <w:r>
              <w:rPr>
                <w:rFonts w:hint="eastAsia" w:ascii="宋体" w:hAnsi="宋体" w:cs="Courier New"/>
                <w:b w:val="0"/>
                <w:bCs w:val="0"/>
                <w:sz w:val="24"/>
                <w:lang w:eastAsia="zh-CN"/>
              </w:rPr>
              <w:t>控制站</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b w:val="0"/>
                <w:bCs w:val="0"/>
                <w:color w:val="000000"/>
                <w:kern w:val="0"/>
                <w:sz w:val="22"/>
                <w:lang w:bidi="ar"/>
              </w:rPr>
              <w:t>800*600*2200（W*D*H）</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b w:val="0"/>
                <w:bCs w:val="0"/>
                <w:color w:val="000000"/>
                <w:kern w:val="0"/>
                <w:sz w:val="24"/>
                <w:szCs w:val="24"/>
                <w:lang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b w:val="0"/>
                <w:bCs w:val="0"/>
                <w:color w:val="000000"/>
                <w:kern w:val="0"/>
                <w:sz w:val="24"/>
                <w:szCs w:val="24"/>
                <w:lang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宋体" w:hAnsi="宋体" w:cs="宋体"/>
                <w:color w:val="000000"/>
                <w:kern w:val="0"/>
                <w:sz w:val="22"/>
                <w:lang w:bidi="ar"/>
              </w:rPr>
            </w:pP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底板</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6ES7590</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2）</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 xml:space="preserve">CPU </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6ES7511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3）</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存储卡</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4MB</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4）</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DP模块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 xml:space="preserve">CP1542-5 </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5）</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接口模块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IM 155-6 PN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6）</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以太网接口</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BusAdapter 2xRJ45</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7）</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数字量输入模块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DI 16x24VDC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8）</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数字量输出模块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DQ 16x24VDC/0.5A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9）</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模拟量输入模块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AI 8xI 2-/4-wire BA</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10）</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cs="Courier New"/>
                <w:sz w:val="24"/>
                <w:lang w:eastAsia="zh-CN"/>
              </w:rPr>
            </w:pPr>
            <w:r>
              <w:rPr>
                <w:rFonts w:hint="eastAsia" w:ascii="宋体" w:hAnsi="宋体" w:eastAsia="宋体" w:cs="宋体"/>
                <w:i w:val="0"/>
                <w:color w:val="000000"/>
                <w:kern w:val="0"/>
                <w:sz w:val="22"/>
                <w:szCs w:val="22"/>
                <w:u w:val="none"/>
                <w:lang w:val="en-US" w:eastAsia="zh-CN" w:bidi="ar"/>
              </w:rPr>
              <w:t>模拟量输出模块</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AQ 4xU/I ST</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前连接器1</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18针</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12）</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前连接器2</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18针</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6</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13）</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继电器</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RJ2S-CL-D24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32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IDEC</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14）</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端子</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UK2.5N</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210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菲尼克斯</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15）</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电源</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EDR-120-24</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明纬</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16）</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以太网交换机</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三旺</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17）</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双孔检修插座</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配套</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18）</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浪涌保护器</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DZ47Y402</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配套</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19）</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DP头</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cs="宋体"/>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SIEMENS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20）</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空开</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C65N 10A/2P</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施耐德</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2"/>
                <w:szCs w:val="22"/>
                <w:u w:val="none"/>
                <w:lang w:val="en-US" w:eastAsia="zh-CN" w:bidi="ar"/>
              </w:rPr>
              <w:t>21）</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Courier New"/>
                <w:sz w:val="24"/>
                <w:lang w:eastAsia="zh-CN"/>
              </w:rPr>
            </w:pPr>
            <w:r>
              <w:rPr>
                <w:rFonts w:hint="eastAsia" w:ascii="宋体" w:hAnsi="宋体" w:eastAsia="宋体" w:cs="宋体"/>
                <w:i w:val="0"/>
                <w:color w:val="000000"/>
                <w:kern w:val="0"/>
                <w:sz w:val="20"/>
                <w:szCs w:val="20"/>
                <w:u w:val="none"/>
                <w:lang w:val="en-US" w:eastAsia="zh-CN" w:bidi="ar"/>
              </w:rPr>
              <w:t>显示屏</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22"/>
                <w:lang w:bidi="ar"/>
              </w:rPr>
            </w:pPr>
            <w:r>
              <w:rPr>
                <w:rFonts w:hint="eastAsia" w:ascii="宋体" w:hAnsi="宋体" w:eastAsia="宋体" w:cs="宋体"/>
                <w:i w:val="0"/>
                <w:color w:val="000000"/>
                <w:kern w:val="0"/>
                <w:sz w:val="20"/>
                <w:szCs w:val="20"/>
                <w:u w:val="none"/>
                <w:lang w:val="en-US" w:eastAsia="zh-CN" w:bidi="ar"/>
              </w:rPr>
              <w:t>10寸</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MCGS</w:t>
            </w:r>
          </w:p>
        </w:tc>
      </w:tr>
      <w:tr>
        <w:tblPrEx>
          <w:tblCellMar>
            <w:top w:w="0" w:type="dxa"/>
            <w:left w:w="108" w:type="dxa"/>
            <w:bottom w:w="0" w:type="dxa"/>
            <w:right w:w="108" w:type="dxa"/>
          </w:tblCellMar>
        </w:tblPrEx>
        <w:trPr>
          <w:trHeight w:val="44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color w:val="000000"/>
                <w:kern w:val="0"/>
                <w:sz w:val="24"/>
                <w:szCs w:val="24"/>
                <w:lang w:val="en-US" w:eastAsia="zh-CN" w:bidi="ar"/>
              </w:rPr>
            </w:pPr>
            <w:r>
              <w:rPr>
                <w:rFonts w:hint="eastAsia" w:ascii="宋体" w:hAnsi="宋体" w:cs="宋体"/>
                <w:b w:val="0"/>
                <w:bCs w:val="0"/>
                <w:color w:val="000000"/>
                <w:kern w:val="0"/>
                <w:sz w:val="24"/>
                <w:szCs w:val="24"/>
                <w:lang w:val="en-US" w:eastAsia="zh-CN" w:bidi="ar"/>
              </w:rPr>
              <w:t>3</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Courier New"/>
                <w:b w:val="0"/>
                <w:bCs w:val="0"/>
                <w:sz w:val="24"/>
                <w:lang w:val="en-US" w:eastAsia="zh-CN"/>
              </w:rPr>
            </w:pPr>
            <w:r>
              <w:rPr>
                <w:rFonts w:hint="eastAsia" w:ascii="宋体" w:hAnsi="宋体" w:cs="Courier New"/>
                <w:b w:val="0"/>
                <w:bCs w:val="0"/>
                <w:sz w:val="24"/>
                <w:lang w:val="en-US" w:eastAsia="zh-CN"/>
              </w:rPr>
              <w:t>DP电缆</w:t>
            </w:r>
          </w:p>
        </w:tc>
        <w:tc>
          <w:tcPr>
            <w:tcW w:w="27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val="0"/>
                <w:bCs w:val="0"/>
                <w:color w:val="000000"/>
                <w:kern w:val="0"/>
                <w:sz w:val="22"/>
                <w:lang w:bidi="ar"/>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color w:val="000000"/>
                <w:kern w:val="0"/>
                <w:sz w:val="24"/>
                <w:szCs w:val="24"/>
                <w:lang w:val="en-US" w:eastAsia="zh-CN" w:bidi="ar"/>
              </w:rPr>
            </w:pPr>
            <w:r>
              <w:rPr>
                <w:rFonts w:hint="eastAsia" w:ascii="宋体" w:hAnsi="宋体" w:cs="宋体"/>
                <w:b w:val="0"/>
                <w:bCs w:val="0"/>
                <w:color w:val="000000"/>
                <w:kern w:val="0"/>
                <w:sz w:val="24"/>
                <w:szCs w:val="24"/>
                <w:lang w:val="en-US" w:eastAsia="zh-CN" w:bidi="ar"/>
              </w:rPr>
              <w:t>1000</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color w:val="000000"/>
                <w:kern w:val="0"/>
                <w:sz w:val="24"/>
                <w:szCs w:val="24"/>
                <w:lang w:eastAsia="zh-CN" w:bidi="ar"/>
              </w:rPr>
            </w:pPr>
            <w:r>
              <w:rPr>
                <w:rFonts w:hint="eastAsia" w:ascii="宋体" w:hAnsi="宋体" w:cs="宋体"/>
                <w:b w:val="0"/>
                <w:bCs w:val="0"/>
                <w:color w:val="000000"/>
                <w:kern w:val="0"/>
                <w:sz w:val="24"/>
                <w:szCs w:val="24"/>
                <w:lang w:eastAsia="zh-CN" w:bidi="ar"/>
              </w:rPr>
              <w:t>米</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hint="eastAsia" w:ascii="宋体" w:hAnsi="宋体" w:cs="宋体"/>
                <w:b w:val="0"/>
                <w:bCs w:val="0"/>
                <w:color w:val="000000"/>
                <w:kern w:val="0"/>
                <w:sz w:val="24"/>
                <w:szCs w:val="24"/>
                <w:lang w:bidi="ar"/>
              </w:rPr>
            </w:pPr>
          </w:p>
        </w:tc>
      </w:tr>
    </w:tbl>
    <w:p>
      <w:pPr>
        <w:widowControl/>
        <w:jc w:val="left"/>
        <w:textAlignment w:val="center"/>
        <w:rPr>
          <w:rFonts w:ascii="宋体" w:hAnsi="宋体" w:cs="宋体"/>
          <w:color w:val="000000"/>
          <w:sz w:val="24"/>
          <w:szCs w:val="24"/>
        </w:rPr>
      </w:pPr>
    </w:p>
    <w:p>
      <w:pPr>
        <w:widowControl/>
        <w:jc w:val="left"/>
        <w:rPr>
          <w:rFonts w:ascii="宋体" w:hAnsi="宋体"/>
          <w:b/>
          <w:sz w:val="32"/>
          <w:szCs w:val="32"/>
        </w:rPr>
      </w:pPr>
    </w:p>
    <w:p>
      <w:pPr>
        <w:widowControl/>
        <w:jc w:val="left"/>
        <w:rPr>
          <w:rFonts w:ascii="宋体" w:hAnsi="宋体"/>
          <w:b/>
          <w:sz w:val="32"/>
          <w:szCs w:val="32"/>
        </w:rPr>
      </w:pPr>
    </w:p>
    <w:p>
      <w:pPr>
        <w:widowControl/>
        <w:jc w:val="left"/>
        <w:rPr>
          <w:rFonts w:ascii="宋体" w:hAnsi="宋体"/>
          <w:b/>
          <w:sz w:val="32"/>
          <w:szCs w:val="32"/>
        </w:rPr>
      </w:pPr>
    </w:p>
    <w:p>
      <w:pPr>
        <w:ind w:left="420" w:leftChars="200"/>
        <w:jc w:val="center"/>
        <w:outlineLvl w:val="0"/>
        <w:rPr>
          <w:rFonts w:ascii="仿宋_GB2312" w:hAnsi="Arial Narrow" w:eastAsia="仿宋_GB2312" w:cs="楷体_GB2312"/>
          <w:kern w:val="0"/>
          <w:sz w:val="24"/>
          <w:szCs w:val="24"/>
        </w:rPr>
      </w:pPr>
      <w:bookmarkStart w:id="178" w:name="_GoBack"/>
      <w:bookmarkEnd w:id="178"/>
    </w:p>
    <w:sectPr>
      <w:head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MGDT">
    <w:panose1 w:val="02000400000000000000"/>
    <w:charset w:val="00"/>
    <w:family w:val="auto"/>
    <w:pitch w:val="default"/>
    <w:sig w:usb0="80000003" w:usb1="10000000" w:usb2="00000000" w:usb3="00000000" w:csb0="00000001" w:csb1="00000000"/>
  </w:font>
  <w:font w:name="Arial Narrow">
    <w:altName w:val="Arial"/>
    <w:panose1 w:val="020B0606020202030204"/>
    <w:charset w:val="00"/>
    <w:family w:val="swiss"/>
    <w:pitch w:val="default"/>
    <w:sig w:usb0="00000000"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00000287" w:usb1="00000000" w:usb2="00000000" w:usb3="00000000" w:csb0="2000009F" w:csb1="DFD70000"/>
  </w:font>
  <w:font w:name="华文新魏">
    <w:altName w:val="宋体"/>
    <w:panose1 w:val="0201080004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金山简隶书">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9395275"/>
    </w:sdtPr>
    <w:sdtEndPr>
      <w:rPr>
        <w:rFonts w:ascii="宋体" w:hAnsi="宋体"/>
        <w:sz w:val="21"/>
        <w:szCs w:val="21"/>
      </w:rPr>
    </w:sdtEndPr>
    <w:sdtContent>
      <w:p>
        <w:pPr>
          <w:pStyle w:val="46"/>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18</w:t>
        </w:r>
        <w:r>
          <w:rPr>
            <w:rFonts w:ascii="宋体" w:hAnsi="宋体"/>
            <w:sz w:val="21"/>
            <w:szCs w:val="21"/>
          </w:rPr>
          <w:fldChar w:fldCharType="end"/>
        </w:r>
      </w:p>
    </w:sdtContent>
  </w:sdt>
  <w:p>
    <w:pPr>
      <w:pStyle w:val="4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sz w:val="22"/>
        <w:szCs w:val="22"/>
        <w:u w:val="single"/>
      </w:rPr>
    </w:pPr>
    <w:r>
      <w:rPr>
        <w:rFonts w:hint="eastAsia"/>
        <w:sz w:val="22"/>
        <w:szCs w:val="22"/>
        <w:u w:val="single"/>
      </w:rPr>
      <w:t>冬瓜山铜矿尾矿远程输送与制备固化回填工程尾矿回填制备系统</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rPr>
        <w:rFonts w:hint="eastAsia"/>
        <w:sz w:val="22"/>
        <w:szCs w:val="22"/>
        <w:u w:val="single"/>
      </w:rPr>
      <w:t>冬瓜山铜矿尾矿远程输送与制备固化回填工程输送泵站区域自动控制系统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01231"/>
    <w:multiLevelType w:val="singleLevel"/>
    <w:tmpl w:val="EBC01231"/>
    <w:lvl w:ilvl="0" w:tentative="0">
      <w:start w:val="1"/>
      <w:numFmt w:val="decimal"/>
      <w:lvlText w:val="%1)"/>
      <w:lvlJc w:val="left"/>
      <w:pPr>
        <w:ind w:left="425" w:hanging="425"/>
      </w:pPr>
      <w:rPr>
        <w:rFonts w:hint="default"/>
      </w:rPr>
    </w:lvl>
  </w:abstractNum>
  <w:abstractNum w:abstractNumId="1">
    <w:nsid w:val="FFFFFF89"/>
    <w:multiLevelType w:val="singleLevel"/>
    <w:tmpl w:val="FFFFFF89"/>
    <w:lvl w:ilvl="0" w:tentative="0">
      <w:start w:val="1"/>
      <w:numFmt w:val="bullet"/>
      <w:pStyle w:val="221"/>
      <w:lvlText w:val=""/>
      <w:lvlJc w:val="left"/>
      <w:pPr>
        <w:tabs>
          <w:tab w:val="left" w:pos="360"/>
        </w:tabs>
        <w:ind w:left="360" w:hanging="360" w:hangingChars="200"/>
      </w:pPr>
      <w:rPr>
        <w:rFonts w:hint="default" w:ascii="Wingdings" w:hAnsi="Wingdings"/>
      </w:rPr>
    </w:lvl>
  </w:abstractNum>
  <w:abstractNum w:abstractNumId="2">
    <w:nsid w:val="0000000E"/>
    <w:multiLevelType w:val="multilevel"/>
    <w:tmpl w:val="0000000E"/>
    <w:lvl w:ilvl="0" w:tentative="0">
      <w:start w:val="1"/>
      <w:numFmt w:val="decimal"/>
      <w:pStyle w:val="156"/>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00000011"/>
    <w:multiLevelType w:val="multilevel"/>
    <w:tmpl w:val="00000011"/>
    <w:lvl w:ilvl="0" w:tentative="0">
      <w:start w:val="1"/>
      <w:numFmt w:val="none"/>
      <w:suff w:val="nothing"/>
      <w:lvlText w:val="%1——"/>
      <w:lvlJc w:val="left"/>
      <w:pPr>
        <w:ind w:left="833" w:hanging="408"/>
      </w:pPr>
      <w:rPr>
        <w:rFonts w:hint="eastAsia"/>
      </w:rPr>
    </w:lvl>
    <w:lvl w:ilvl="1" w:tentative="0">
      <w:start w:val="1"/>
      <w:numFmt w:val="bullet"/>
      <w:pStyle w:val="155"/>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030C1839"/>
    <w:multiLevelType w:val="multilevel"/>
    <w:tmpl w:val="030C1839"/>
    <w:lvl w:ilvl="0" w:tentative="0">
      <w:start w:val="1"/>
      <w:numFmt w:val="decimal"/>
      <w:pStyle w:val="224"/>
      <w:lvlText w:val="%1."/>
      <w:lvlJc w:val="left"/>
      <w:pPr>
        <w:tabs>
          <w:tab w:val="left" w:pos="-720"/>
        </w:tabs>
        <w:ind w:left="720" w:hanging="720"/>
      </w:pPr>
      <w:rPr>
        <w:rFonts w:hint="default" w:ascii="Times New Roman" w:hAnsi="Times New Roman"/>
        <w:b/>
        <w:i w:val="0"/>
        <w:sz w:val="22"/>
        <w:szCs w:val="22"/>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1440"/>
        </w:tabs>
        <w:ind w:left="1440" w:hanging="180"/>
      </w:pPr>
    </w:lvl>
    <w:lvl w:ilvl="3" w:tentative="0">
      <w:start w:val="1"/>
      <w:numFmt w:val="decimal"/>
      <w:lvlText w:val="%4."/>
      <w:lvlJc w:val="left"/>
      <w:pPr>
        <w:tabs>
          <w:tab w:val="left" w:pos="2160"/>
        </w:tabs>
        <w:ind w:left="2160" w:hanging="360"/>
      </w:pPr>
    </w:lvl>
    <w:lvl w:ilvl="4" w:tentative="0">
      <w:start w:val="1"/>
      <w:numFmt w:val="lowerLetter"/>
      <w:lvlText w:val="%5."/>
      <w:lvlJc w:val="left"/>
      <w:pPr>
        <w:tabs>
          <w:tab w:val="left" w:pos="2880"/>
        </w:tabs>
        <w:ind w:left="2880" w:hanging="360"/>
      </w:pPr>
    </w:lvl>
    <w:lvl w:ilvl="5" w:tentative="0">
      <w:start w:val="1"/>
      <w:numFmt w:val="lowerRoman"/>
      <w:lvlText w:val="%6."/>
      <w:lvlJc w:val="right"/>
      <w:pPr>
        <w:tabs>
          <w:tab w:val="left" w:pos="3600"/>
        </w:tabs>
        <w:ind w:left="3600" w:hanging="180"/>
      </w:pPr>
    </w:lvl>
    <w:lvl w:ilvl="6" w:tentative="0">
      <w:start w:val="1"/>
      <w:numFmt w:val="decimal"/>
      <w:lvlText w:val="%7."/>
      <w:lvlJc w:val="left"/>
      <w:pPr>
        <w:tabs>
          <w:tab w:val="left" w:pos="4320"/>
        </w:tabs>
        <w:ind w:left="4320" w:hanging="360"/>
      </w:pPr>
    </w:lvl>
    <w:lvl w:ilvl="7" w:tentative="0">
      <w:start w:val="1"/>
      <w:numFmt w:val="lowerLetter"/>
      <w:lvlText w:val="%8."/>
      <w:lvlJc w:val="left"/>
      <w:pPr>
        <w:tabs>
          <w:tab w:val="left" w:pos="5040"/>
        </w:tabs>
        <w:ind w:left="5040" w:hanging="360"/>
      </w:pPr>
    </w:lvl>
    <w:lvl w:ilvl="8" w:tentative="0">
      <w:start w:val="1"/>
      <w:numFmt w:val="lowerRoman"/>
      <w:lvlText w:val="%9."/>
      <w:lvlJc w:val="right"/>
      <w:pPr>
        <w:tabs>
          <w:tab w:val="left" w:pos="5760"/>
        </w:tabs>
        <w:ind w:left="5760" w:hanging="180"/>
      </w:pPr>
    </w:lvl>
  </w:abstractNum>
  <w:abstractNum w:abstractNumId="5">
    <w:nsid w:val="1BC78EA4"/>
    <w:multiLevelType w:val="singleLevel"/>
    <w:tmpl w:val="1BC78EA4"/>
    <w:lvl w:ilvl="0" w:tentative="0">
      <w:start w:val="1"/>
      <w:numFmt w:val="decimal"/>
      <w:suff w:val="nothing"/>
      <w:lvlText w:val="%1、"/>
      <w:lvlJc w:val="left"/>
    </w:lvl>
  </w:abstractNum>
  <w:abstractNum w:abstractNumId="6">
    <w:nsid w:val="21A14476"/>
    <w:multiLevelType w:val="multilevel"/>
    <w:tmpl w:val="21A14476"/>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BDD0898"/>
    <w:multiLevelType w:val="multilevel"/>
    <w:tmpl w:val="2BDD0898"/>
    <w:lvl w:ilvl="0" w:tentative="0">
      <w:start w:val="1"/>
      <w:numFmt w:val="lowerLetter"/>
      <w:pStyle w:val="223"/>
      <w:lvlText w:val="%1)"/>
      <w:lvlJc w:val="left"/>
      <w:pPr>
        <w:tabs>
          <w:tab w:val="left" w:pos="0"/>
        </w:tabs>
        <w:ind w:left="2520" w:hanging="360"/>
      </w:pPr>
      <w:rPr>
        <w:rFonts w:hint="default" w:ascii="Times New Roman" w:hAnsi="Times New Roman" w:cs="Times New Roman"/>
        <w:b w:val="0"/>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70274E4"/>
    <w:multiLevelType w:val="multilevel"/>
    <w:tmpl w:val="370274E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43DC0258"/>
    <w:multiLevelType w:val="multilevel"/>
    <w:tmpl w:val="43DC0258"/>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0">
    <w:nsid w:val="48760F13"/>
    <w:multiLevelType w:val="multilevel"/>
    <w:tmpl w:val="48760F1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1">
    <w:nsid w:val="48DC57C5"/>
    <w:multiLevelType w:val="multilevel"/>
    <w:tmpl w:val="48DC57C5"/>
    <w:lvl w:ilvl="0" w:tentative="0">
      <w:start w:val="1"/>
      <w:numFmt w:val="lowerLetter"/>
      <w:pStyle w:val="222"/>
      <w:lvlText w:val="%1."/>
      <w:lvlJc w:val="left"/>
      <w:pPr>
        <w:tabs>
          <w:tab w:val="left" w:pos="1440"/>
        </w:tabs>
        <w:ind w:left="2520" w:hanging="360"/>
      </w:pPr>
      <w:rPr>
        <w:rFonts w:hint="default" w:ascii="Times New Roman" w:hAnsi="Times New Roman" w:cs="Times New Roman"/>
        <w:b w:val="0"/>
        <w:bCs w:val="0"/>
        <w:i w:val="0"/>
        <w:iCs w:val="0"/>
        <w: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5E50CD2"/>
    <w:multiLevelType w:val="multilevel"/>
    <w:tmpl w:val="55E50CD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
    <w:nsid w:val="5BAE7C3C"/>
    <w:multiLevelType w:val="multilevel"/>
    <w:tmpl w:val="5BAE7C3C"/>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6DBB7B11"/>
    <w:multiLevelType w:val="multilevel"/>
    <w:tmpl w:val="6DBB7B11"/>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5">
    <w:nsid w:val="73E5035E"/>
    <w:multiLevelType w:val="singleLevel"/>
    <w:tmpl w:val="73E5035E"/>
    <w:lvl w:ilvl="0" w:tentative="0">
      <w:start w:val="1"/>
      <w:numFmt w:val="decimal"/>
      <w:lvlText w:val="%1)"/>
      <w:lvlJc w:val="left"/>
      <w:pPr>
        <w:ind w:left="425" w:hanging="425"/>
      </w:pPr>
      <w:rPr>
        <w:rFonts w:hint="default"/>
      </w:rPr>
    </w:lvl>
  </w:abstractNum>
  <w:abstractNum w:abstractNumId="16">
    <w:nsid w:val="76933334"/>
    <w:multiLevelType w:val="multilevel"/>
    <w:tmpl w:val="76933334"/>
    <w:lvl w:ilvl="0" w:tentative="0">
      <w:start w:val="1"/>
      <w:numFmt w:val="none"/>
      <w:pStyle w:val="153"/>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D5070A"/>
    <w:multiLevelType w:val="singleLevel"/>
    <w:tmpl w:val="79D5070A"/>
    <w:lvl w:ilvl="0" w:tentative="0">
      <w:start w:val="1"/>
      <w:numFmt w:val="decimal"/>
      <w:lvlText w:val="%1)"/>
      <w:lvlJc w:val="left"/>
      <w:pPr>
        <w:ind w:left="425" w:hanging="425"/>
      </w:pPr>
      <w:rPr>
        <w:rFonts w:hint="default"/>
      </w:rPr>
    </w:lvl>
  </w:abstractNum>
  <w:abstractNum w:abstractNumId="18">
    <w:nsid w:val="7F7E5967"/>
    <w:multiLevelType w:val="multilevel"/>
    <w:tmpl w:val="7F7E5967"/>
    <w:lvl w:ilvl="0" w:tentative="0">
      <w:start w:val="1"/>
      <w:numFmt w:val="bullet"/>
      <w:lvlText w:val=""/>
      <w:lvlJc w:val="left"/>
      <w:pPr>
        <w:tabs>
          <w:tab w:val="left" w:pos="-720"/>
        </w:tabs>
        <w:ind w:left="2160" w:hanging="360"/>
      </w:pPr>
      <w:rPr>
        <w:rFonts w:hint="default" w:ascii="Wingdings" w:hAnsi="Wingdings"/>
      </w:rPr>
    </w:lvl>
    <w:lvl w:ilvl="1" w:tentative="0">
      <w:start w:val="1"/>
      <w:numFmt w:val="bullet"/>
      <w:lvlText w:val="o"/>
      <w:lvlJc w:val="left"/>
      <w:pPr>
        <w:tabs>
          <w:tab w:val="left" w:pos="720"/>
        </w:tabs>
        <w:ind w:left="720" w:hanging="360"/>
      </w:pPr>
      <w:rPr>
        <w:rFonts w:hint="default" w:ascii="Courier New" w:hAnsi="Courier New" w:cs="Courier New"/>
      </w:rPr>
    </w:lvl>
    <w:lvl w:ilvl="2" w:tentative="0">
      <w:start w:val="1"/>
      <w:numFmt w:val="bullet"/>
      <w:lvlText w:val=""/>
      <w:lvlJc w:val="left"/>
      <w:pPr>
        <w:tabs>
          <w:tab w:val="left" w:pos="1440"/>
        </w:tabs>
        <w:ind w:left="1440" w:hanging="360"/>
      </w:pPr>
      <w:rPr>
        <w:rFonts w:hint="default" w:ascii="Wingdings" w:hAnsi="Wingdings"/>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pStyle w:val="225"/>
      <w:lvlText w:val=""/>
      <w:lvlJc w:val="left"/>
      <w:pPr>
        <w:tabs>
          <w:tab w:val="left" w:pos="1440"/>
        </w:tabs>
        <w:ind w:left="2880" w:hanging="360"/>
      </w:pPr>
      <w:rPr>
        <w:rFonts w:hint="default" w:ascii="Symbol" w:hAnsi="Symbol"/>
      </w:rPr>
    </w:lvl>
    <w:lvl w:ilvl="5" w:tentative="0">
      <w:start w:val="1"/>
      <w:numFmt w:val="bullet"/>
      <w:lvlText w:val=""/>
      <w:lvlJc w:val="left"/>
      <w:pPr>
        <w:tabs>
          <w:tab w:val="left" w:pos="3600"/>
        </w:tabs>
        <w:ind w:left="3600" w:hanging="360"/>
      </w:pPr>
      <w:rPr>
        <w:rFonts w:hint="default" w:ascii="Wingdings" w:hAnsi="Wingdings"/>
      </w:rPr>
    </w:lvl>
    <w:lvl w:ilvl="6" w:tentative="0">
      <w:start w:val="0"/>
      <w:numFmt w:val="bullet"/>
      <w:lvlText w:val="-"/>
      <w:lvlJc w:val="left"/>
      <w:pPr>
        <w:tabs>
          <w:tab w:val="left" w:pos="4320"/>
        </w:tabs>
        <w:ind w:left="4320" w:hanging="360"/>
      </w:pPr>
      <w:rPr>
        <w:rFonts w:hint="default" w:ascii="Times New Roman" w:hAnsi="Times New Roman" w:eastAsia="Times New Roman" w:cs="Times New Roman"/>
      </w:rPr>
    </w:lvl>
    <w:lvl w:ilvl="7" w:tentative="0">
      <w:start w:val="1"/>
      <w:numFmt w:val="bullet"/>
      <w:lvlText w:val="o"/>
      <w:lvlJc w:val="left"/>
      <w:pPr>
        <w:tabs>
          <w:tab w:val="left" w:pos="5040"/>
        </w:tabs>
        <w:ind w:left="5040" w:hanging="360"/>
      </w:pPr>
      <w:rPr>
        <w:rFonts w:hint="default" w:ascii="Courier New" w:hAnsi="Courier New" w:cs="Courier New"/>
      </w:rPr>
    </w:lvl>
    <w:lvl w:ilvl="8" w:tentative="0">
      <w:start w:val="1"/>
      <w:numFmt w:val="bullet"/>
      <w:lvlText w:val=""/>
      <w:lvlJc w:val="left"/>
      <w:pPr>
        <w:tabs>
          <w:tab w:val="left" w:pos="5760"/>
        </w:tabs>
        <w:ind w:left="5760" w:hanging="360"/>
      </w:pPr>
      <w:rPr>
        <w:rFonts w:hint="default" w:ascii="Wingdings" w:hAnsi="Wingdings"/>
      </w:rPr>
    </w:lvl>
  </w:abstractNum>
  <w:num w:numId="1">
    <w:abstractNumId w:val="16"/>
  </w:num>
  <w:num w:numId="2">
    <w:abstractNumId w:val="3"/>
  </w:num>
  <w:num w:numId="3">
    <w:abstractNumId w:val="2"/>
  </w:num>
  <w:num w:numId="4">
    <w:abstractNumId w:val="1"/>
  </w:num>
  <w:num w:numId="5">
    <w:abstractNumId w:val="11"/>
  </w:num>
  <w:num w:numId="6">
    <w:abstractNumId w:val="7"/>
  </w:num>
  <w:num w:numId="7">
    <w:abstractNumId w:val="4"/>
  </w:num>
  <w:num w:numId="8">
    <w:abstractNumId w:val="18"/>
  </w:num>
  <w:num w:numId="9">
    <w:abstractNumId w:val="6"/>
  </w:num>
  <w:num w:numId="10">
    <w:abstractNumId w:val="5"/>
  </w:num>
  <w:num w:numId="11">
    <w:abstractNumId w:val="17"/>
  </w:num>
  <w:num w:numId="12">
    <w:abstractNumId w:val="15"/>
  </w:num>
  <w:num w:numId="13">
    <w:abstractNumId w:val="0"/>
  </w:num>
  <w:num w:numId="14">
    <w:abstractNumId w:val="10"/>
  </w:num>
  <w:num w:numId="15">
    <w:abstractNumId w:val="8"/>
  </w:num>
  <w:num w:numId="16">
    <w:abstractNumId w:val="12"/>
  </w:num>
  <w:num w:numId="17">
    <w:abstractNumId w:val="14"/>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iMTYyY2Y3MjBlNmQxN2EwNjM5NWJkMDJmYmQ4MjMifQ=="/>
  </w:docVars>
  <w:rsids>
    <w:rsidRoot w:val="002716D2"/>
    <w:rsid w:val="0000031F"/>
    <w:rsid w:val="00000CB9"/>
    <w:rsid w:val="00012B4B"/>
    <w:rsid w:val="000162EC"/>
    <w:rsid w:val="00023C69"/>
    <w:rsid w:val="0004039B"/>
    <w:rsid w:val="0004202B"/>
    <w:rsid w:val="00042103"/>
    <w:rsid w:val="00054864"/>
    <w:rsid w:val="00063B55"/>
    <w:rsid w:val="00071867"/>
    <w:rsid w:val="000836AB"/>
    <w:rsid w:val="00097A56"/>
    <w:rsid w:val="000A20E8"/>
    <w:rsid w:val="000A2D8B"/>
    <w:rsid w:val="000B3CB2"/>
    <w:rsid w:val="000B5147"/>
    <w:rsid w:val="000C0D65"/>
    <w:rsid w:val="000C0FB5"/>
    <w:rsid w:val="000D3982"/>
    <w:rsid w:val="000D4695"/>
    <w:rsid w:val="000D7F6D"/>
    <w:rsid w:val="000E0A4B"/>
    <w:rsid w:val="000E61DF"/>
    <w:rsid w:val="000F699B"/>
    <w:rsid w:val="001101F9"/>
    <w:rsid w:val="00111AA8"/>
    <w:rsid w:val="001126A8"/>
    <w:rsid w:val="00132AA5"/>
    <w:rsid w:val="00134085"/>
    <w:rsid w:val="00134BCD"/>
    <w:rsid w:val="00135D05"/>
    <w:rsid w:val="001365D6"/>
    <w:rsid w:val="001371FE"/>
    <w:rsid w:val="00143D49"/>
    <w:rsid w:val="00145DFC"/>
    <w:rsid w:val="00150217"/>
    <w:rsid w:val="00153306"/>
    <w:rsid w:val="00177F05"/>
    <w:rsid w:val="00182090"/>
    <w:rsid w:val="00192264"/>
    <w:rsid w:val="001A242C"/>
    <w:rsid w:val="001B0CE6"/>
    <w:rsid w:val="001C3783"/>
    <w:rsid w:val="001C47D0"/>
    <w:rsid w:val="001C7ADA"/>
    <w:rsid w:val="001E0DC8"/>
    <w:rsid w:val="001E40D5"/>
    <w:rsid w:val="001E7206"/>
    <w:rsid w:val="0020535F"/>
    <w:rsid w:val="002131DC"/>
    <w:rsid w:val="00213F29"/>
    <w:rsid w:val="00214700"/>
    <w:rsid w:val="002165B3"/>
    <w:rsid w:val="00216719"/>
    <w:rsid w:val="002234A4"/>
    <w:rsid w:val="0023021A"/>
    <w:rsid w:val="00234A79"/>
    <w:rsid w:val="002408B5"/>
    <w:rsid w:val="002423B5"/>
    <w:rsid w:val="002506A7"/>
    <w:rsid w:val="0025254B"/>
    <w:rsid w:val="00262AC6"/>
    <w:rsid w:val="00263AD4"/>
    <w:rsid w:val="002700B9"/>
    <w:rsid w:val="002716D2"/>
    <w:rsid w:val="00275837"/>
    <w:rsid w:val="00296030"/>
    <w:rsid w:val="002B4AF7"/>
    <w:rsid w:val="002C6DD5"/>
    <w:rsid w:val="002D21FE"/>
    <w:rsid w:val="002D5A6D"/>
    <w:rsid w:val="002D7BEC"/>
    <w:rsid w:val="002E1BDE"/>
    <w:rsid w:val="002E6299"/>
    <w:rsid w:val="002F01B7"/>
    <w:rsid w:val="0030223E"/>
    <w:rsid w:val="00313D6E"/>
    <w:rsid w:val="00320B5F"/>
    <w:rsid w:val="003251F3"/>
    <w:rsid w:val="0032748A"/>
    <w:rsid w:val="003316F8"/>
    <w:rsid w:val="00340BA1"/>
    <w:rsid w:val="00342454"/>
    <w:rsid w:val="00343E57"/>
    <w:rsid w:val="0035172E"/>
    <w:rsid w:val="00354322"/>
    <w:rsid w:val="00356CD2"/>
    <w:rsid w:val="00357F19"/>
    <w:rsid w:val="003605A6"/>
    <w:rsid w:val="00366423"/>
    <w:rsid w:val="00370D97"/>
    <w:rsid w:val="00373C67"/>
    <w:rsid w:val="003848F2"/>
    <w:rsid w:val="00385C34"/>
    <w:rsid w:val="00385F6B"/>
    <w:rsid w:val="003A42FF"/>
    <w:rsid w:val="003B1FEB"/>
    <w:rsid w:val="003B68EA"/>
    <w:rsid w:val="003C08A6"/>
    <w:rsid w:val="003E1A08"/>
    <w:rsid w:val="003E3C8D"/>
    <w:rsid w:val="003E3E8C"/>
    <w:rsid w:val="003E6B5A"/>
    <w:rsid w:val="003F3BDF"/>
    <w:rsid w:val="00400BAD"/>
    <w:rsid w:val="00402046"/>
    <w:rsid w:val="00412009"/>
    <w:rsid w:val="00414A29"/>
    <w:rsid w:val="004243B0"/>
    <w:rsid w:val="00426F6E"/>
    <w:rsid w:val="0043386A"/>
    <w:rsid w:val="00437F89"/>
    <w:rsid w:val="00441452"/>
    <w:rsid w:val="004424F7"/>
    <w:rsid w:val="00446367"/>
    <w:rsid w:val="004478E8"/>
    <w:rsid w:val="004511F2"/>
    <w:rsid w:val="0045218D"/>
    <w:rsid w:val="004540BE"/>
    <w:rsid w:val="004600BD"/>
    <w:rsid w:val="004649CD"/>
    <w:rsid w:val="00471FD3"/>
    <w:rsid w:val="004754C2"/>
    <w:rsid w:val="0048117A"/>
    <w:rsid w:val="0048314E"/>
    <w:rsid w:val="00486388"/>
    <w:rsid w:val="00494C04"/>
    <w:rsid w:val="004D2C45"/>
    <w:rsid w:val="004D3404"/>
    <w:rsid w:val="004D507C"/>
    <w:rsid w:val="004D67C8"/>
    <w:rsid w:val="004D6DB4"/>
    <w:rsid w:val="004D6EA8"/>
    <w:rsid w:val="004F0D65"/>
    <w:rsid w:val="004F1099"/>
    <w:rsid w:val="004F47A3"/>
    <w:rsid w:val="004F5F59"/>
    <w:rsid w:val="00506466"/>
    <w:rsid w:val="0052020C"/>
    <w:rsid w:val="00522503"/>
    <w:rsid w:val="00540B76"/>
    <w:rsid w:val="005414A8"/>
    <w:rsid w:val="00542F60"/>
    <w:rsid w:val="00550AF0"/>
    <w:rsid w:val="00551713"/>
    <w:rsid w:val="0055299A"/>
    <w:rsid w:val="00553A28"/>
    <w:rsid w:val="005678EA"/>
    <w:rsid w:val="00576B5F"/>
    <w:rsid w:val="005817F1"/>
    <w:rsid w:val="00582136"/>
    <w:rsid w:val="00590675"/>
    <w:rsid w:val="005B0358"/>
    <w:rsid w:val="005B321C"/>
    <w:rsid w:val="005B3BBF"/>
    <w:rsid w:val="005C2CDF"/>
    <w:rsid w:val="005C2F28"/>
    <w:rsid w:val="005C3210"/>
    <w:rsid w:val="005C3E52"/>
    <w:rsid w:val="005D46F9"/>
    <w:rsid w:val="005D6074"/>
    <w:rsid w:val="005E5D86"/>
    <w:rsid w:val="005F4666"/>
    <w:rsid w:val="005F4DF2"/>
    <w:rsid w:val="00602025"/>
    <w:rsid w:val="006108D6"/>
    <w:rsid w:val="00612BC2"/>
    <w:rsid w:val="006163D9"/>
    <w:rsid w:val="00616647"/>
    <w:rsid w:val="00616A51"/>
    <w:rsid w:val="0063553B"/>
    <w:rsid w:val="00642CD8"/>
    <w:rsid w:val="00647D64"/>
    <w:rsid w:val="00661DEC"/>
    <w:rsid w:val="006639E3"/>
    <w:rsid w:val="00664DDE"/>
    <w:rsid w:val="00671600"/>
    <w:rsid w:val="0067262A"/>
    <w:rsid w:val="00672B16"/>
    <w:rsid w:val="00673CEA"/>
    <w:rsid w:val="0069068D"/>
    <w:rsid w:val="006967D6"/>
    <w:rsid w:val="006A253E"/>
    <w:rsid w:val="006B5859"/>
    <w:rsid w:val="006B5870"/>
    <w:rsid w:val="006C04DA"/>
    <w:rsid w:val="006C7D23"/>
    <w:rsid w:val="006D1524"/>
    <w:rsid w:val="006D34B9"/>
    <w:rsid w:val="006E2683"/>
    <w:rsid w:val="006E3429"/>
    <w:rsid w:val="006F172D"/>
    <w:rsid w:val="00700C59"/>
    <w:rsid w:val="007054D8"/>
    <w:rsid w:val="007058A7"/>
    <w:rsid w:val="0072301D"/>
    <w:rsid w:val="007245BF"/>
    <w:rsid w:val="007309F8"/>
    <w:rsid w:val="00741DD9"/>
    <w:rsid w:val="00745835"/>
    <w:rsid w:val="00751CF6"/>
    <w:rsid w:val="007643E4"/>
    <w:rsid w:val="00767814"/>
    <w:rsid w:val="00771108"/>
    <w:rsid w:val="00774AB3"/>
    <w:rsid w:val="007802A1"/>
    <w:rsid w:val="00787A5D"/>
    <w:rsid w:val="00787F6E"/>
    <w:rsid w:val="00791793"/>
    <w:rsid w:val="007936F4"/>
    <w:rsid w:val="007939EC"/>
    <w:rsid w:val="007A49AB"/>
    <w:rsid w:val="007A7BD8"/>
    <w:rsid w:val="007B1391"/>
    <w:rsid w:val="007B176C"/>
    <w:rsid w:val="007B462E"/>
    <w:rsid w:val="007C1263"/>
    <w:rsid w:val="007C3820"/>
    <w:rsid w:val="007D2F95"/>
    <w:rsid w:val="007D72EF"/>
    <w:rsid w:val="007E2472"/>
    <w:rsid w:val="007E57C6"/>
    <w:rsid w:val="007E6179"/>
    <w:rsid w:val="007F3DF1"/>
    <w:rsid w:val="00816922"/>
    <w:rsid w:val="008217C2"/>
    <w:rsid w:val="00824F68"/>
    <w:rsid w:val="00827CA9"/>
    <w:rsid w:val="008408FA"/>
    <w:rsid w:val="008442C3"/>
    <w:rsid w:val="00845449"/>
    <w:rsid w:val="008477CF"/>
    <w:rsid w:val="008505AD"/>
    <w:rsid w:val="00851938"/>
    <w:rsid w:val="00851C66"/>
    <w:rsid w:val="00862DFD"/>
    <w:rsid w:val="00872F7E"/>
    <w:rsid w:val="008774FB"/>
    <w:rsid w:val="00885714"/>
    <w:rsid w:val="00893EC7"/>
    <w:rsid w:val="00895F58"/>
    <w:rsid w:val="008A7CB8"/>
    <w:rsid w:val="008B0949"/>
    <w:rsid w:val="008B4AB6"/>
    <w:rsid w:val="008B504F"/>
    <w:rsid w:val="008B6E51"/>
    <w:rsid w:val="008C0D78"/>
    <w:rsid w:val="008C18BA"/>
    <w:rsid w:val="008C6B09"/>
    <w:rsid w:val="008D3092"/>
    <w:rsid w:val="008D58CB"/>
    <w:rsid w:val="008E563A"/>
    <w:rsid w:val="008F127A"/>
    <w:rsid w:val="008F3328"/>
    <w:rsid w:val="00915C7E"/>
    <w:rsid w:val="00916F20"/>
    <w:rsid w:val="00921273"/>
    <w:rsid w:val="009327E6"/>
    <w:rsid w:val="00934A6B"/>
    <w:rsid w:val="00935590"/>
    <w:rsid w:val="00943E0F"/>
    <w:rsid w:val="00945804"/>
    <w:rsid w:val="009516BE"/>
    <w:rsid w:val="00952FE4"/>
    <w:rsid w:val="00953B39"/>
    <w:rsid w:val="00970FF6"/>
    <w:rsid w:val="009731DE"/>
    <w:rsid w:val="00982DAF"/>
    <w:rsid w:val="0098433C"/>
    <w:rsid w:val="00992C89"/>
    <w:rsid w:val="009968D4"/>
    <w:rsid w:val="009A00FE"/>
    <w:rsid w:val="009A08FF"/>
    <w:rsid w:val="009A26AC"/>
    <w:rsid w:val="009A342E"/>
    <w:rsid w:val="009A646F"/>
    <w:rsid w:val="009B2A5A"/>
    <w:rsid w:val="009B6435"/>
    <w:rsid w:val="009B730B"/>
    <w:rsid w:val="009C65D9"/>
    <w:rsid w:val="009D0386"/>
    <w:rsid w:val="009D3D40"/>
    <w:rsid w:val="009E2E68"/>
    <w:rsid w:val="00A00D05"/>
    <w:rsid w:val="00A01CBB"/>
    <w:rsid w:val="00A057DA"/>
    <w:rsid w:val="00A10F9B"/>
    <w:rsid w:val="00A175ED"/>
    <w:rsid w:val="00A2388D"/>
    <w:rsid w:val="00A26118"/>
    <w:rsid w:val="00A27C50"/>
    <w:rsid w:val="00A30958"/>
    <w:rsid w:val="00A36D3B"/>
    <w:rsid w:val="00A36DB9"/>
    <w:rsid w:val="00A53D69"/>
    <w:rsid w:val="00A568E5"/>
    <w:rsid w:val="00A65D0A"/>
    <w:rsid w:val="00A826E4"/>
    <w:rsid w:val="00AB2953"/>
    <w:rsid w:val="00AC13CE"/>
    <w:rsid w:val="00AC42E7"/>
    <w:rsid w:val="00AC472D"/>
    <w:rsid w:val="00AC7112"/>
    <w:rsid w:val="00AD24BA"/>
    <w:rsid w:val="00AE2183"/>
    <w:rsid w:val="00AE29AB"/>
    <w:rsid w:val="00AE4A0A"/>
    <w:rsid w:val="00AF4EF4"/>
    <w:rsid w:val="00AF5B07"/>
    <w:rsid w:val="00B016D3"/>
    <w:rsid w:val="00B022C5"/>
    <w:rsid w:val="00B1082B"/>
    <w:rsid w:val="00B164EE"/>
    <w:rsid w:val="00B37892"/>
    <w:rsid w:val="00B43B54"/>
    <w:rsid w:val="00B46C30"/>
    <w:rsid w:val="00B50583"/>
    <w:rsid w:val="00B64478"/>
    <w:rsid w:val="00B64746"/>
    <w:rsid w:val="00B80343"/>
    <w:rsid w:val="00B903D5"/>
    <w:rsid w:val="00B9247B"/>
    <w:rsid w:val="00B93071"/>
    <w:rsid w:val="00BA6673"/>
    <w:rsid w:val="00BB0E25"/>
    <w:rsid w:val="00BB3481"/>
    <w:rsid w:val="00BB357D"/>
    <w:rsid w:val="00BC12A8"/>
    <w:rsid w:val="00BC47DF"/>
    <w:rsid w:val="00BC6328"/>
    <w:rsid w:val="00BD04DA"/>
    <w:rsid w:val="00BD1716"/>
    <w:rsid w:val="00BD33FD"/>
    <w:rsid w:val="00BD501D"/>
    <w:rsid w:val="00BE555F"/>
    <w:rsid w:val="00BF22A7"/>
    <w:rsid w:val="00C01BE3"/>
    <w:rsid w:val="00C212A9"/>
    <w:rsid w:val="00C238B8"/>
    <w:rsid w:val="00C24ED0"/>
    <w:rsid w:val="00C31263"/>
    <w:rsid w:val="00C34404"/>
    <w:rsid w:val="00C416E1"/>
    <w:rsid w:val="00C557BD"/>
    <w:rsid w:val="00C561A6"/>
    <w:rsid w:val="00C60F98"/>
    <w:rsid w:val="00C6412C"/>
    <w:rsid w:val="00C7420E"/>
    <w:rsid w:val="00C74439"/>
    <w:rsid w:val="00C829A9"/>
    <w:rsid w:val="00C8769E"/>
    <w:rsid w:val="00C91447"/>
    <w:rsid w:val="00C92D78"/>
    <w:rsid w:val="00C93A83"/>
    <w:rsid w:val="00C951A4"/>
    <w:rsid w:val="00CB13EA"/>
    <w:rsid w:val="00CB6938"/>
    <w:rsid w:val="00CC040A"/>
    <w:rsid w:val="00CC2261"/>
    <w:rsid w:val="00CD0D34"/>
    <w:rsid w:val="00CD61EE"/>
    <w:rsid w:val="00CE28DC"/>
    <w:rsid w:val="00CE5888"/>
    <w:rsid w:val="00CF3962"/>
    <w:rsid w:val="00D030AB"/>
    <w:rsid w:val="00D0350B"/>
    <w:rsid w:val="00D068AE"/>
    <w:rsid w:val="00D07C93"/>
    <w:rsid w:val="00D3482F"/>
    <w:rsid w:val="00D530DA"/>
    <w:rsid w:val="00D57EAE"/>
    <w:rsid w:val="00D6189C"/>
    <w:rsid w:val="00D65DDA"/>
    <w:rsid w:val="00D66E29"/>
    <w:rsid w:val="00D760B9"/>
    <w:rsid w:val="00D77CEA"/>
    <w:rsid w:val="00D85D4E"/>
    <w:rsid w:val="00D864F7"/>
    <w:rsid w:val="00D9155A"/>
    <w:rsid w:val="00D94575"/>
    <w:rsid w:val="00D962E0"/>
    <w:rsid w:val="00DA16F6"/>
    <w:rsid w:val="00DA267B"/>
    <w:rsid w:val="00DA2723"/>
    <w:rsid w:val="00DA7A5E"/>
    <w:rsid w:val="00DB02FF"/>
    <w:rsid w:val="00DB2C2F"/>
    <w:rsid w:val="00DB6EFA"/>
    <w:rsid w:val="00DC1C36"/>
    <w:rsid w:val="00DC43DE"/>
    <w:rsid w:val="00DC72F2"/>
    <w:rsid w:val="00DD2088"/>
    <w:rsid w:val="00DD2FB1"/>
    <w:rsid w:val="00DD5B5B"/>
    <w:rsid w:val="00DE0B37"/>
    <w:rsid w:val="00DE3FB8"/>
    <w:rsid w:val="00DF0B56"/>
    <w:rsid w:val="00DF1C6F"/>
    <w:rsid w:val="00E00BAF"/>
    <w:rsid w:val="00E03110"/>
    <w:rsid w:val="00E07C45"/>
    <w:rsid w:val="00E10EAD"/>
    <w:rsid w:val="00E12E37"/>
    <w:rsid w:val="00E140C7"/>
    <w:rsid w:val="00E1584E"/>
    <w:rsid w:val="00E1691F"/>
    <w:rsid w:val="00E22887"/>
    <w:rsid w:val="00E31156"/>
    <w:rsid w:val="00E366D1"/>
    <w:rsid w:val="00E447F8"/>
    <w:rsid w:val="00E53543"/>
    <w:rsid w:val="00E56833"/>
    <w:rsid w:val="00E56FDF"/>
    <w:rsid w:val="00E622A2"/>
    <w:rsid w:val="00E62D43"/>
    <w:rsid w:val="00E658D0"/>
    <w:rsid w:val="00E81BA7"/>
    <w:rsid w:val="00E87E56"/>
    <w:rsid w:val="00E91ED4"/>
    <w:rsid w:val="00E93828"/>
    <w:rsid w:val="00E93F20"/>
    <w:rsid w:val="00EA4445"/>
    <w:rsid w:val="00EA6F9C"/>
    <w:rsid w:val="00EB142A"/>
    <w:rsid w:val="00EC7494"/>
    <w:rsid w:val="00EE6C7E"/>
    <w:rsid w:val="00F00805"/>
    <w:rsid w:val="00F14230"/>
    <w:rsid w:val="00F15E09"/>
    <w:rsid w:val="00F22468"/>
    <w:rsid w:val="00F263FB"/>
    <w:rsid w:val="00F276D7"/>
    <w:rsid w:val="00F3345A"/>
    <w:rsid w:val="00F336EE"/>
    <w:rsid w:val="00F345C0"/>
    <w:rsid w:val="00F37367"/>
    <w:rsid w:val="00F378E9"/>
    <w:rsid w:val="00F40A6E"/>
    <w:rsid w:val="00F450C2"/>
    <w:rsid w:val="00F50ACB"/>
    <w:rsid w:val="00F60C17"/>
    <w:rsid w:val="00F64688"/>
    <w:rsid w:val="00F66597"/>
    <w:rsid w:val="00F75765"/>
    <w:rsid w:val="00F866E7"/>
    <w:rsid w:val="00F965AE"/>
    <w:rsid w:val="00F96ACB"/>
    <w:rsid w:val="00F96E17"/>
    <w:rsid w:val="00FA59FA"/>
    <w:rsid w:val="00FA5BD6"/>
    <w:rsid w:val="00FA73D4"/>
    <w:rsid w:val="00FC456C"/>
    <w:rsid w:val="00FC594F"/>
    <w:rsid w:val="00FC6160"/>
    <w:rsid w:val="00FD3F46"/>
    <w:rsid w:val="00FD4CA0"/>
    <w:rsid w:val="00FE4ECB"/>
    <w:rsid w:val="00FF0F2D"/>
    <w:rsid w:val="00FF58F7"/>
    <w:rsid w:val="017E64D8"/>
    <w:rsid w:val="01A35E6F"/>
    <w:rsid w:val="01EF0408"/>
    <w:rsid w:val="02184C85"/>
    <w:rsid w:val="029F0FAB"/>
    <w:rsid w:val="032B3035"/>
    <w:rsid w:val="033603EC"/>
    <w:rsid w:val="03E50603"/>
    <w:rsid w:val="0585792B"/>
    <w:rsid w:val="06010A75"/>
    <w:rsid w:val="063C4161"/>
    <w:rsid w:val="0885507D"/>
    <w:rsid w:val="09495307"/>
    <w:rsid w:val="09C85764"/>
    <w:rsid w:val="0A7E1FD3"/>
    <w:rsid w:val="0B1D5C17"/>
    <w:rsid w:val="0B3D55C6"/>
    <w:rsid w:val="0B661195"/>
    <w:rsid w:val="0B7849E6"/>
    <w:rsid w:val="0EB1063F"/>
    <w:rsid w:val="0EC8141F"/>
    <w:rsid w:val="0ED90EF4"/>
    <w:rsid w:val="107238E7"/>
    <w:rsid w:val="117E1E63"/>
    <w:rsid w:val="122819CC"/>
    <w:rsid w:val="13B877F4"/>
    <w:rsid w:val="140777E2"/>
    <w:rsid w:val="141670BB"/>
    <w:rsid w:val="1436124C"/>
    <w:rsid w:val="14984551"/>
    <w:rsid w:val="14BD20DF"/>
    <w:rsid w:val="14F1572E"/>
    <w:rsid w:val="15F12A7B"/>
    <w:rsid w:val="16FA7CF5"/>
    <w:rsid w:val="17650369"/>
    <w:rsid w:val="17C16BA7"/>
    <w:rsid w:val="1B34092A"/>
    <w:rsid w:val="1BA406B5"/>
    <w:rsid w:val="1BB94DB1"/>
    <w:rsid w:val="1C5E460A"/>
    <w:rsid w:val="1D5C5A5B"/>
    <w:rsid w:val="1D6A1276"/>
    <w:rsid w:val="1E1C0A91"/>
    <w:rsid w:val="1F466E47"/>
    <w:rsid w:val="21CA4370"/>
    <w:rsid w:val="231C5469"/>
    <w:rsid w:val="23553F8E"/>
    <w:rsid w:val="24101F8A"/>
    <w:rsid w:val="242B0565"/>
    <w:rsid w:val="24CD103E"/>
    <w:rsid w:val="2597024B"/>
    <w:rsid w:val="25AD2C56"/>
    <w:rsid w:val="25E74828"/>
    <w:rsid w:val="28C64A1B"/>
    <w:rsid w:val="2BA05322"/>
    <w:rsid w:val="2C3957C1"/>
    <w:rsid w:val="2C74725F"/>
    <w:rsid w:val="2C8125D5"/>
    <w:rsid w:val="2D40301A"/>
    <w:rsid w:val="2DDC50DA"/>
    <w:rsid w:val="2E2370D5"/>
    <w:rsid w:val="2E675E8B"/>
    <w:rsid w:val="2E9F55D7"/>
    <w:rsid w:val="2F4C3E28"/>
    <w:rsid w:val="31A3507B"/>
    <w:rsid w:val="32B52C32"/>
    <w:rsid w:val="331647A6"/>
    <w:rsid w:val="348F065B"/>
    <w:rsid w:val="35DA0749"/>
    <w:rsid w:val="370371E2"/>
    <w:rsid w:val="37B50DF3"/>
    <w:rsid w:val="37BE5661"/>
    <w:rsid w:val="381D6B7A"/>
    <w:rsid w:val="39706FFC"/>
    <w:rsid w:val="3A52634E"/>
    <w:rsid w:val="3AD72EF5"/>
    <w:rsid w:val="3AFE4655"/>
    <w:rsid w:val="3B4412D1"/>
    <w:rsid w:val="3B4A6E50"/>
    <w:rsid w:val="3B79769A"/>
    <w:rsid w:val="3BF35355"/>
    <w:rsid w:val="3D0E510B"/>
    <w:rsid w:val="3E9A2468"/>
    <w:rsid w:val="3EB40969"/>
    <w:rsid w:val="3EF2519E"/>
    <w:rsid w:val="3F2A5310"/>
    <w:rsid w:val="3F4A5F1E"/>
    <w:rsid w:val="3F706FC3"/>
    <w:rsid w:val="3FC462D8"/>
    <w:rsid w:val="3FE15507"/>
    <w:rsid w:val="400F7B7B"/>
    <w:rsid w:val="401927E5"/>
    <w:rsid w:val="409004FE"/>
    <w:rsid w:val="40BB3783"/>
    <w:rsid w:val="40D74849"/>
    <w:rsid w:val="419825D7"/>
    <w:rsid w:val="41A63ADE"/>
    <w:rsid w:val="41FD4D22"/>
    <w:rsid w:val="42435351"/>
    <w:rsid w:val="42486CC9"/>
    <w:rsid w:val="426530F0"/>
    <w:rsid w:val="43166EC9"/>
    <w:rsid w:val="446507E8"/>
    <w:rsid w:val="466928F2"/>
    <w:rsid w:val="46B52547"/>
    <w:rsid w:val="46E13242"/>
    <w:rsid w:val="477C591C"/>
    <w:rsid w:val="47EE2E81"/>
    <w:rsid w:val="4832046C"/>
    <w:rsid w:val="49FF4CFF"/>
    <w:rsid w:val="4A7144D0"/>
    <w:rsid w:val="4AB64608"/>
    <w:rsid w:val="4B363157"/>
    <w:rsid w:val="4B4F33B1"/>
    <w:rsid w:val="4B550856"/>
    <w:rsid w:val="4B94101A"/>
    <w:rsid w:val="4E7C7D6A"/>
    <w:rsid w:val="4EEB4C76"/>
    <w:rsid w:val="5125011D"/>
    <w:rsid w:val="51A21442"/>
    <w:rsid w:val="523D4611"/>
    <w:rsid w:val="5286412F"/>
    <w:rsid w:val="52ED568D"/>
    <w:rsid w:val="54307198"/>
    <w:rsid w:val="546D1AF5"/>
    <w:rsid w:val="54F77C3B"/>
    <w:rsid w:val="55287C98"/>
    <w:rsid w:val="55910E93"/>
    <w:rsid w:val="5641747C"/>
    <w:rsid w:val="565827F7"/>
    <w:rsid w:val="57E53E0F"/>
    <w:rsid w:val="5A6875BE"/>
    <w:rsid w:val="5B0F78D1"/>
    <w:rsid w:val="5C9C5FD6"/>
    <w:rsid w:val="5D22396D"/>
    <w:rsid w:val="5E161B4E"/>
    <w:rsid w:val="5F6129CE"/>
    <w:rsid w:val="5F6A34D3"/>
    <w:rsid w:val="61D93393"/>
    <w:rsid w:val="63505963"/>
    <w:rsid w:val="642B37B7"/>
    <w:rsid w:val="6463225B"/>
    <w:rsid w:val="64833355"/>
    <w:rsid w:val="648B309C"/>
    <w:rsid w:val="658F73B2"/>
    <w:rsid w:val="65C25754"/>
    <w:rsid w:val="65D90A1F"/>
    <w:rsid w:val="66AE2242"/>
    <w:rsid w:val="66F52274"/>
    <w:rsid w:val="675157C9"/>
    <w:rsid w:val="67CA731C"/>
    <w:rsid w:val="685E3459"/>
    <w:rsid w:val="690224FA"/>
    <w:rsid w:val="698C50CC"/>
    <w:rsid w:val="6A952FBC"/>
    <w:rsid w:val="6C4253CC"/>
    <w:rsid w:val="6D136BB3"/>
    <w:rsid w:val="6D517538"/>
    <w:rsid w:val="6F04549B"/>
    <w:rsid w:val="6F5E1933"/>
    <w:rsid w:val="700738BC"/>
    <w:rsid w:val="70887D3A"/>
    <w:rsid w:val="72F7541F"/>
    <w:rsid w:val="73593920"/>
    <w:rsid w:val="74F8725C"/>
    <w:rsid w:val="75B51C48"/>
    <w:rsid w:val="77137A7C"/>
    <w:rsid w:val="79FF320F"/>
    <w:rsid w:val="7B5D4A94"/>
    <w:rsid w:val="7B5F1C21"/>
    <w:rsid w:val="7B6273B4"/>
    <w:rsid w:val="7B7553D6"/>
    <w:rsid w:val="7C9C2FD3"/>
    <w:rsid w:val="7CB21DA4"/>
    <w:rsid w:val="7DA3775E"/>
    <w:rsid w:val="7E5240C2"/>
    <w:rsid w:val="7ECB1EA2"/>
    <w:rsid w:val="7FA73CE8"/>
    <w:rsid w:val="7FB442BF"/>
    <w:rsid w:val="7FCE0D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qFormat="1" w:unhideWhenUsed="0" w:uiPriority="0" w:name="envelope address"/>
    <w:lsdException w:qFormat="1" w:unhideWhenUsed="0" w:uiPriority="0" w:name="envelope return"/>
    <w:lsdException w:qFormat="1" w:unhideWhenUsed="0" w:uiPriority="0" w:semiHidden="0" w:name="footnote reference"/>
    <w:lsdException w:qFormat="1" w:unhideWhenUsed="0" w:uiPriority="0" w:semiHidden="0" w:name="annotation reference"/>
    <w:lsdException w:qFormat="1" w:unhideWhenUsed="0"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semiHidden="0" w:name="Message Header"/>
    <w:lsdException w:qFormat="1" w:unhideWhenUsed="0" w:uiPriority="11" w:semiHidden="0" w:name="Subtitle"/>
    <w:lsdException w:qFormat="1" w:unhideWhenUsed="0" w:uiPriority="0" w:name="Salutation"/>
    <w:lsdException w:qFormat="1" w:unhideWhenUsed="0" w:uiPriority="0" w:semiHidden="0" w:name="Date"/>
    <w:lsdException w:qFormat="1" w:uiPriority="99" w:semiHidden="0" w:name="Body Text First Indent"/>
    <w:lsdException w:qFormat="1" w:unhideWhenUsed="0" w:uiPriority="0" w:name="Body Text First Indent 2"/>
    <w:lsdException w:qFormat="1" w:uiPriority="99" w:semiHidden="0" w:name="Note Heading"/>
    <w:lsdException w:qFormat="1" w:unhideWhenUsed="0" w:uiPriority="0" w:name="Body Text 2"/>
    <w:lsdException w:qFormat="1" w:unhideWhenUsed="0" w:uiPriority="0" w:semiHidden="0" w:name="Body Text 3"/>
    <w:lsdException w:qFormat="1" w:uiPriority="0" w:semiHidden="0" w:name="Body Text Indent 2"/>
    <w:lsdException w:qFormat="1" w:uiPriority="0" w:semiHidden="0" w:name="Body Text Indent 3"/>
    <w:lsdException w:qFormat="1" w:unhideWhenUsed="0" w:uiPriority="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qFormat="1" w:unhideWhenUsed="0" w:uiPriority="0" w:name="E-mail Signature"/>
    <w:lsdException w:qFormat="1" w:unhideWhenUsed="0" w:uiPriority="0"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semiHidden="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iPriority="99" w:semiHidden="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MGDT" w:hAnsi="AMGDT" w:eastAsia="宋体" w:cs="Wingdings"/>
      <w:kern w:val="2"/>
      <w:sz w:val="21"/>
      <w:szCs w:val="22"/>
      <w:lang w:val="en-US" w:eastAsia="zh-CN" w:bidi="ar-SA"/>
    </w:rPr>
  </w:style>
  <w:style w:type="paragraph" w:styleId="2">
    <w:name w:val="heading 1"/>
    <w:basedOn w:val="1"/>
    <w:next w:val="1"/>
    <w:link w:val="16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0"/>
    <w:qFormat/>
    <w:uiPriority w:val="9"/>
    <w:pPr>
      <w:keepNext/>
      <w:keepLines/>
      <w:spacing w:before="260" w:after="260" w:line="416" w:lineRule="auto"/>
      <w:outlineLvl w:val="1"/>
    </w:pPr>
    <w:rPr>
      <w:rFonts w:ascii="Arial Narrow" w:hAnsi="Arial Narrow" w:eastAsia="Times New Roman"/>
      <w:b/>
      <w:bCs/>
      <w:sz w:val="32"/>
      <w:szCs w:val="32"/>
    </w:rPr>
  </w:style>
  <w:style w:type="paragraph" w:styleId="4">
    <w:name w:val="heading 3"/>
    <w:basedOn w:val="1"/>
    <w:next w:val="1"/>
    <w:link w:val="147"/>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70"/>
    <w:qFormat/>
    <w:uiPriority w:val="0"/>
    <w:pPr>
      <w:keepNext/>
      <w:keepLines/>
      <w:spacing w:before="280" w:after="290" w:line="376" w:lineRule="auto"/>
      <w:ind w:left="1428" w:hanging="1008"/>
      <w:outlineLvl w:val="4"/>
    </w:pPr>
    <w:rPr>
      <w:rFonts w:ascii="Calibri" w:hAnsi="Calibri" w:cs="Times New Roman"/>
      <w:b/>
      <w:bCs/>
      <w:sz w:val="28"/>
      <w:szCs w:val="28"/>
    </w:rPr>
  </w:style>
  <w:style w:type="paragraph" w:styleId="7">
    <w:name w:val="heading 6"/>
    <w:basedOn w:val="1"/>
    <w:next w:val="1"/>
    <w:link w:val="171"/>
    <w:qFormat/>
    <w:uiPriority w:val="0"/>
    <w:pPr>
      <w:keepNext/>
      <w:keepLines/>
      <w:spacing w:before="240" w:after="64" w:line="320" w:lineRule="auto"/>
      <w:ind w:left="1572" w:hanging="1152"/>
      <w:outlineLvl w:val="5"/>
    </w:pPr>
    <w:rPr>
      <w:rFonts w:ascii="Cambria" w:hAnsi="Cambria" w:cs="Times New Roman"/>
      <w:b/>
      <w:bCs/>
      <w:sz w:val="24"/>
      <w:szCs w:val="24"/>
    </w:rPr>
  </w:style>
  <w:style w:type="paragraph" w:styleId="8">
    <w:name w:val="heading 7"/>
    <w:basedOn w:val="1"/>
    <w:next w:val="1"/>
    <w:link w:val="172"/>
    <w:qFormat/>
    <w:uiPriority w:val="0"/>
    <w:pPr>
      <w:keepNext/>
      <w:keepLines/>
      <w:spacing w:before="240" w:after="64" w:line="320" w:lineRule="auto"/>
      <w:ind w:left="1716" w:hanging="1296"/>
      <w:outlineLvl w:val="6"/>
    </w:pPr>
    <w:rPr>
      <w:rFonts w:ascii="Calibri" w:hAnsi="Calibri" w:cs="Times New Roman"/>
      <w:b/>
      <w:bCs/>
      <w:sz w:val="24"/>
      <w:szCs w:val="24"/>
    </w:rPr>
  </w:style>
  <w:style w:type="paragraph" w:styleId="9">
    <w:name w:val="heading 8"/>
    <w:basedOn w:val="1"/>
    <w:next w:val="1"/>
    <w:link w:val="173"/>
    <w:qFormat/>
    <w:uiPriority w:val="0"/>
    <w:pPr>
      <w:keepNext/>
      <w:keepLines/>
      <w:spacing w:before="240" w:after="64" w:line="320" w:lineRule="auto"/>
      <w:ind w:left="1860" w:hanging="1440"/>
      <w:outlineLvl w:val="7"/>
    </w:pPr>
    <w:rPr>
      <w:rFonts w:ascii="Cambria" w:hAnsi="Cambria" w:cs="Times New Roman"/>
      <w:sz w:val="24"/>
      <w:szCs w:val="24"/>
    </w:rPr>
  </w:style>
  <w:style w:type="paragraph" w:styleId="10">
    <w:name w:val="heading 9"/>
    <w:basedOn w:val="1"/>
    <w:next w:val="1"/>
    <w:link w:val="174"/>
    <w:qFormat/>
    <w:uiPriority w:val="0"/>
    <w:pPr>
      <w:keepNext/>
      <w:keepLines/>
      <w:spacing w:before="240" w:after="64" w:line="320" w:lineRule="auto"/>
      <w:ind w:left="2004" w:hanging="1584"/>
      <w:outlineLvl w:val="8"/>
    </w:pPr>
    <w:rPr>
      <w:rFonts w:ascii="Cambria" w:hAnsi="Cambria" w:cs="Times New Roman"/>
      <w:sz w:val="24"/>
      <w:szCs w:val="21"/>
    </w:rPr>
  </w:style>
  <w:style w:type="character" w:default="1" w:styleId="119">
    <w:name w:val="Default Paragraph Font"/>
    <w:semiHidden/>
    <w:unhideWhenUsed/>
    <w:qFormat/>
    <w:uiPriority w:val="1"/>
  </w:style>
  <w:style w:type="table" w:default="1" w:styleId="74">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qFormat/>
    <w:uiPriority w:val="0"/>
    <w:pPr>
      <w:ind w:left="100" w:leftChars="400" w:hanging="200" w:hangingChars="200"/>
    </w:pPr>
    <w:rPr>
      <w:rFonts w:ascii="Times New Roman" w:hAnsi="Times New Roman" w:cs="Times New Roman"/>
      <w:sz w:val="24"/>
      <w:szCs w:val="24"/>
    </w:rPr>
  </w:style>
  <w:style w:type="paragraph" w:styleId="12">
    <w:name w:val="toc 7"/>
    <w:basedOn w:val="1"/>
    <w:next w:val="1"/>
    <w:unhideWhenUsed/>
    <w:qFormat/>
    <w:uiPriority w:val="39"/>
    <w:pPr>
      <w:ind w:left="2520" w:leftChars="1200"/>
    </w:pPr>
  </w:style>
  <w:style w:type="paragraph" w:styleId="13">
    <w:name w:val="List Number 2"/>
    <w:basedOn w:val="1"/>
    <w:semiHidden/>
    <w:qFormat/>
    <w:uiPriority w:val="0"/>
    <w:pPr>
      <w:tabs>
        <w:tab w:val="left" w:pos="780"/>
      </w:tabs>
      <w:ind w:left="780" w:leftChars="200" w:hanging="360" w:hangingChars="200"/>
    </w:pPr>
    <w:rPr>
      <w:rFonts w:ascii="Times New Roman" w:hAnsi="Times New Roman" w:cs="Times New Roman"/>
      <w:sz w:val="24"/>
      <w:szCs w:val="24"/>
    </w:rPr>
  </w:style>
  <w:style w:type="paragraph" w:styleId="14">
    <w:name w:val="Note Heading"/>
    <w:basedOn w:val="1"/>
    <w:next w:val="1"/>
    <w:link w:val="178"/>
    <w:unhideWhenUsed/>
    <w:qFormat/>
    <w:uiPriority w:val="99"/>
    <w:pPr>
      <w:spacing w:line="360" w:lineRule="auto"/>
      <w:jc w:val="center"/>
    </w:pPr>
    <w:rPr>
      <w:rFonts w:ascii="Calibri" w:hAnsi="Calibri" w:cs="Times New Roman"/>
      <w:sz w:val="24"/>
      <w:szCs w:val="21"/>
    </w:rPr>
  </w:style>
  <w:style w:type="paragraph" w:styleId="15">
    <w:name w:val="List Bullet 4"/>
    <w:basedOn w:val="1"/>
    <w:semiHidden/>
    <w:qFormat/>
    <w:uiPriority w:val="0"/>
    <w:pPr>
      <w:tabs>
        <w:tab w:val="left" w:pos="1620"/>
      </w:tabs>
      <w:ind w:left="1620" w:leftChars="600" w:hanging="360" w:hangingChars="200"/>
    </w:pPr>
    <w:rPr>
      <w:rFonts w:ascii="Times New Roman" w:hAnsi="Times New Roman" w:cs="Times New Roman"/>
      <w:sz w:val="24"/>
      <w:szCs w:val="24"/>
    </w:rPr>
  </w:style>
  <w:style w:type="paragraph" w:styleId="16">
    <w:name w:val="E-mail Signature"/>
    <w:basedOn w:val="1"/>
    <w:link w:val="198"/>
    <w:semiHidden/>
    <w:qFormat/>
    <w:uiPriority w:val="0"/>
    <w:rPr>
      <w:rFonts w:ascii="Times New Roman" w:hAnsi="Times New Roman" w:cs="Times New Roman"/>
      <w:sz w:val="24"/>
      <w:szCs w:val="24"/>
    </w:rPr>
  </w:style>
  <w:style w:type="paragraph" w:styleId="17">
    <w:name w:val="List Number"/>
    <w:basedOn w:val="1"/>
    <w:semiHidden/>
    <w:qFormat/>
    <w:uiPriority w:val="0"/>
    <w:pPr>
      <w:tabs>
        <w:tab w:val="left" w:pos="360"/>
      </w:tabs>
      <w:ind w:left="360" w:hanging="360" w:hangingChars="200"/>
    </w:pPr>
    <w:rPr>
      <w:rFonts w:ascii="Times New Roman" w:hAnsi="Times New Roman" w:cs="Times New Roman"/>
      <w:sz w:val="24"/>
      <w:szCs w:val="24"/>
    </w:rPr>
  </w:style>
  <w:style w:type="paragraph" w:styleId="18">
    <w:name w:val="Normal Indent"/>
    <w:basedOn w:val="1"/>
    <w:qFormat/>
    <w:uiPriority w:val="0"/>
    <w:pPr>
      <w:ind w:firstLine="420" w:firstLineChars="200"/>
    </w:pPr>
    <w:rPr>
      <w:rFonts w:ascii="Times New Roman" w:hAnsi="Times New Roman" w:cs="Times New Roman"/>
      <w:sz w:val="24"/>
      <w:szCs w:val="24"/>
    </w:rPr>
  </w:style>
  <w:style w:type="paragraph" w:styleId="19">
    <w:name w:val="List Bullet"/>
    <w:basedOn w:val="1"/>
    <w:semiHidden/>
    <w:qFormat/>
    <w:uiPriority w:val="0"/>
    <w:pPr>
      <w:tabs>
        <w:tab w:val="left" w:pos="360"/>
      </w:tabs>
      <w:ind w:left="360" w:hanging="360" w:hangingChars="200"/>
    </w:pPr>
    <w:rPr>
      <w:rFonts w:ascii="Times New Roman" w:hAnsi="Times New Roman" w:cs="Times New Roman"/>
      <w:sz w:val="24"/>
      <w:szCs w:val="24"/>
    </w:rPr>
  </w:style>
  <w:style w:type="paragraph" w:styleId="2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21">
    <w:name w:val="Document Map"/>
    <w:basedOn w:val="1"/>
    <w:link w:val="141"/>
    <w:unhideWhenUsed/>
    <w:qFormat/>
    <w:uiPriority w:val="99"/>
    <w:rPr>
      <w:rFonts w:ascii="宋体"/>
      <w:sz w:val="18"/>
      <w:szCs w:val="18"/>
    </w:rPr>
  </w:style>
  <w:style w:type="paragraph" w:styleId="22">
    <w:name w:val="annotation text"/>
    <w:basedOn w:val="1"/>
    <w:link w:val="269"/>
    <w:qFormat/>
    <w:uiPriority w:val="0"/>
    <w:pPr>
      <w:jc w:val="left"/>
    </w:pPr>
    <w:rPr>
      <w:rFonts w:ascii="Times New Roman" w:hAnsi="Times New Roman" w:cs="Times New Roman"/>
      <w:szCs w:val="24"/>
    </w:rPr>
  </w:style>
  <w:style w:type="paragraph" w:styleId="23">
    <w:name w:val="Salutation"/>
    <w:basedOn w:val="1"/>
    <w:next w:val="1"/>
    <w:link w:val="197"/>
    <w:semiHidden/>
    <w:qFormat/>
    <w:uiPriority w:val="0"/>
    <w:rPr>
      <w:rFonts w:ascii="Times New Roman" w:hAnsi="Times New Roman" w:cs="Times New Roman"/>
      <w:sz w:val="24"/>
      <w:szCs w:val="24"/>
    </w:rPr>
  </w:style>
  <w:style w:type="paragraph" w:styleId="24">
    <w:name w:val="Body Text 3"/>
    <w:basedOn w:val="1"/>
    <w:link w:val="205"/>
    <w:qFormat/>
    <w:uiPriority w:val="0"/>
    <w:pPr>
      <w:spacing w:after="120"/>
    </w:pPr>
    <w:rPr>
      <w:rFonts w:ascii="Times New Roman" w:hAnsi="Times New Roman" w:cs="Times New Roman"/>
      <w:sz w:val="16"/>
      <w:szCs w:val="16"/>
    </w:rPr>
  </w:style>
  <w:style w:type="paragraph" w:styleId="25">
    <w:name w:val="Closing"/>
    <w:basedOn w:val="1"/>
    <w:link w:val="199"/>
    <w:semiHidden/>
    <w:qFormat/>
    <w:uiPriority w:val="0"/>
    <w:pPr>
      <w:ind w:left="100" w:leftChars="2100"/>
    </w:pPr>
    <w:rPr>
      <w:rFonts w:ascii="Times New Roman" w:hAnsi="Times New Roman" w:cs="Times New Roman"/>
      <w:sz w:val="24"/>
      <w:szCs w:val="24"/>
    </w:rPr>
  </w:style>
  <w:style w:type="paragraph" w:styleId="26">
    <w:name w:val="List Bullet 3"/>
    <w:basedOn w:val="1"/>
    <w:semiHidden/>
    <w:qFormat/>
    <w:uiPriority w:val="0"/>
    <w:pPr>
      <w:tabs>
        <w:tab w:val="left" w:pos="1200"/>
      </w:tabs>
      <w:ind w:left="1200" w:leftChars="400" w:hanging="360" w:hangingChars="200"/>
    </w:pPr>
    <w:rPr>
      <w:rFonts w:ascii="Times New Roman" w:hAnsi="Times New Roman" w:cs="Times New Roman"/>
      <w:sz w:val="24"/>
      <w:szCs w:val="24"/>
    </w:rPr>
  </w:style>
  <w:style w:type="paragraph" w:styleId="27">
    <w:name w:val="Body Text"/>
    <w:link w:val="157"/>
    <w:qFormat/>
    <w:uiPriority w:val="0"/>
    <w:pPr>
      <w:spacing w:before="120" w:after="120"/>
      <w:jc w:val="both"/>
    </w:pPr>
    <w:rPr>
      <w:rFonts w:ascii="Times New Roman" w:hAnsi="Times New Roman" w:eastAsia="宋体" w:cs="Times New Roman"/>
      <w:color w:val="000000"/>
      <w:sz w:val="22"/>
      <w:lang w:val="en-US" w:eastAsia="en-US" w:bidi="ar-SA"/>
    </w:rPr>
  </w:style>
  <w:style w:type="paragraph" w:styleId="28">
    <w:name w:val="Body Text Indent"/>
    <w:basedOn w:val="1"/>
    <w:link w:val="163"/>
    <w:unhideWhenUsed/>
    <w:qFormat/>
    <w:uiPriority w:val="0"/>
    <w:pPr>
      <w:spacing w:after="120"/>
      <w:ind w:left="420" w:leftChars="200"/>
    </w:pPr>
  </w:style>
  <w:style w:type="paragraph" w:styleId="29">
    <w:name w:val="List Number 3"/>
    <w:basedOn w:val="1"/>
    <w:semiHidden/>
    <w:qFormat/>
    <w:uiPriority w:val="0"/>
    <w:pPr>
      <w:tabs>
        <w:tab w:val="left" w:pos="1200"/>
      </w:tabs>
      <w:ind w:left="1200" w:leftChars="400" w:hanging="360" w:hangingChars="200"/>
    </w:pPr>
    <w:rPr>
      <w:rFonts w:ascii="Times New Roman" w:hAnsi="Times New Roman" w:cs="Times New Roman"/>
      <w:sz w:val="24"/>
      <w:szCs w:val="24"/>
    </w:rPr>
  </w:style>
  <w:style w:type="paragraph" w:styleId="30">
    <w:name w:val="List 2"/>
    <w:basedOn w:val="1"/>
    <w:semiHidden/>
    <w:qFormat/>
    <w:uiPriority w:val="0"/>
    <w:pPr>
      <w:ind w:left="100" w:leftChars="200" w:hanging="200" w:hangingChars="200"/>
    </w:pPr>
    <w:rPr>
      <w:rFonts w:ascii="Times New Roman" w:hAnsi="Times New Roman" w:cs="Times New Roman"/>
      <w:sz w:val="24"/>
      <w:szCs w:val="24"/>
    </w:rPr>
  </w:style>
  <w:style w:type="paragraph" w:styleId="31">
    <w:name w:val="List Continue"/>
    <w:basedOn w:val="1"/>
    <w:semiHidden/>
    <w:qFormat/>
    <w:uiPriority w:val="0"/>
    <w:pPr>
      <w:spacing w:after="120"/>
      <w:ind w:left="420" w:leftChars="200"/>
    </w:pPr>
    <w:rPr>
      <w:rFonts w:ascii="Times New Roman" w:hAnsi="Times New Roman" w:cs="Times New Roman"/>
      <w:sz w:val="24"/>
      <w:szCs w:val="24"/>
    </w:rPr>
  </w:style>
  <w:style w:type="paragraph" w:styleId="32">
    <w:name w:val="Block Text"/>
    <w:basedOn w:val="1"/>
    <w:semiHidden/>
    <w:qFormat/>
    <w:uiPriority w:val="0"/>
    <w:pPr>
      <w:spacing w:after="120"/>
      <w:ind w:left="1440" w:leftChars="700" w:right="1440" w:rightChars="700"/>
    </w:pPr>
    <w:rPr>
      <w:rFonts w:ascii="Times New Roman" w:hAnsi="Times New Roman" w:cs="Times New Roman"/>
      <w:sz w:val="24"/>
      <w:szCs w:val="24"/>
    </w:rPr>
  </w:style>
  <w:style w:type="paragraph" w:styleId="33">
    <w:name w:val="List Bullet 2"/>
    <w:basedOn w:val="1"/>
    <w:semiHidden/>
    <w:qFormat/>
    <w:uiPriority w:val="0"/>
    <w:pPr>
      <w:tabs>
        <w:tab w:val="left" w:pos="780"/>
      </w:tabs>
      <w:ind w:left="780" w:leftChars="200" w:hanging="360" w:hangingChars="200"/>
    </w:pPr>
    <w:rPr>
      <w:rFonts w:ascii="Times New Roman" w:hAnsi="Times New Roman" w:cs="Times New Roman"/>
      <w:sz w:val="24"/>
      <w:szCs w:val="24"/>
    </w:rPr>
  </w:style>
  <w:style w:type="paragraph" w:styleId="34">
    <w:name w:val="HTML Address"/>
    <w:basedOn w:val="1"/>
    <w:link w:val="195"/>
    <w:semiHidden/>
    <w:qFormat/>
    <w:uiPriority w:val="0"/>
    <w:rPr>
      <w:rFonts w:ascii="Times New Roman" w:hAnsi="Times New Roman" w:cs="Times New Roman"/>
      <w:i/>
      <w:iCs/>
      <w:sz w:val="24"/>
      <w:szCs w:val="24"/>
    </w:rPr>
  </w:style>
  <w:style w:type="paragraph" w:styleId="35">
    <w:name w:val="toc 5"/>
    <w:basedOn w:val="1"/>
    <w:next w:val="1"/>
    <w:unhideWhenUsed/>
    <w:qFormat/>
    <w:uiPriority w:val="39"/>
    <w:pPr>
      <w:ind w:left="1680" w:leftChars="800"/>
    </w:pPr>
  </w:style>
  <w:style w:type="paragraph" w:styleId="36">
    <w:name w:val="toc 3"/>
    <w:basedOn w:val="1"/>
    <w:next w:val="1"/>
    <w:unhideWhenUsed/>
    <w:qFormat/>
    <w:uiPriority w:val="39"/>
    <w:pPr>
      <w:ind w:left="840" w:leftChars="400"/>
    </w:pPr>
  </w:style>
  <w:style w:type="paragraph" w:styleId="37">
    <w:name w:val="Plain Text"/>
    <w:basedOn w:val="1"/>
    <w:link w:val="149"/>
    <w:qFormat/>
    <w:uiPriority w:val="0"/>
    <w:rPr>
      <w:rFonts w:ascii="宋体" w:hAnsi="Courier New" w:cs="Courier New"/>
      <w:szCs w:val="21"/>
    </w:rPr>
  </w:style>
  <w:style w:type="paragraph" w:styleId="38">
    <w:name w:val="List Bullet 5"/>
    <w:basedOn w:val="1"/>
    <w:semiHidden/>
    <w:qFormat/>
    <w:uiPriority w:val="0"/>
    <w:pPr>
      <w:tabs>
        <w:tab w:val="left" w:pos="2040"/>
      </w:tabs>
      <w:ind w:left="2040" w:leftChars="800" w:hanging="360" w:hangingChars="200"/>
    </w:pPr>
    <w:rPr>
      <w:rFonts w:ascii="Times New Roman" w:hAnsi="Times New Roman" w:cs="Times New Roman"/>
      <w:sz w:val="24"/>
      <w:szCs w:val="24"/>
    </w:rPr>
  </w:style>
  <w:style w:type="paragraph" w:styleId="39">
    <w:name w:val="List Number 4"/>
    <w:basedOn w:val="1"/>
    <w:semiHidden/>
    <w:qFormat/>
    <w:uiPriority w:val="0"/>
    <w:pPr>
      <w:tabs>
        <w:tab w:val="left" w:pos="1620"/>
      </w:tabs>
      <w:ind w:left="1620" w:leftChars="600" w:hanging="360" w:hangingChars="200"/>
    </w:pPr>
    <w:rPr>
      <w:rFonts w:ascii="Times New Roman" w:hAnsi="Times New Roman" w:cs="Times New Roman"/>
      <w:sz w:val="24"/>
      <w:szCs w:val="24"/>
    </w:rPr>
  </w:style>
  <w:style w:type="paragraph" w:styleId="40">
    <w:name w:val="toc 8"/>
    <w:basedOn w:val="1"/>
    <w:next w:val="1"/>
    <w:unhideWhenUsed/>
    <w:qFormat/>
    <w:uiPriority w:val="39"/>
    <w:pPr>
      <w:ind w:left="2940" w:leftChars="1400"/>
    </w:pPr>
  </w:style>
  <w:style w:type="paragraph" w:styleId="41">
    <w:name w:val="Date"/>
    <w:basedOn w:val="1"/>
    <w:next w:val="1"/>
    <w:link w:val="201"/>
    <w:qFormat/>
    <w:uiPriority w:val="0"/>
    <w:pPr>
      <w:ind w:left="100" w:leftChars="2500"/>
    </w:pPr>
    <w:rPr>
      <w:rFonts w:ascii="Times New Roman" w:hAnsi="Times New Roman" w:cs="Times New Roman"/>
      <w:sz w:val="24"/>
      <w:szCs w:val="24"/>
    </w:rPr>
  </w:style>
  <w:style w:type="paragraph" w:styleId="42">
    <w:name w:val="Body Text Indent 2"/>
    <w:basedOn w:val="1"/>
    <w:link w:val="166"/>
    <w:unhideWhenUsed/>
    <w:qFormat/>
    <w:uiPriority w:val="0"/>
    <w:pPr>
      <w:spacing w:after="120" w:line="480" w:lineRule="auto"/>
      <w:ind w:left="420" w:leftChars="200"/>
    </w:pPr>
  </w:style>
  <w:style w:type="paragraph" w:styleId="43">
    <w:name w:val="endnote text"/>
    <w:basedOn w:val="1"/>
    <w:link w:val="272"/>
    <w:qFormat/>
    <w:uiPriority w:val="0"/>
    <w:pPr>
      <w:snapToGrid w:val="0"/>
      <w:jc w:val="left"/>
    </w:pPr>
    <w:rPr>
      <w:rFonts w:asciiTheme="minorHAnsi" w:hAnsiTheme="minorHAnsi" w:eastAsiaTheme="minorEastAsia" w:cstheme="minorBidi"/>
      <w:szCs w:val="24"/>
    </w:rPr>
  </w:style>
  <w:style w:type="paragraph" w:styleId="44">
    <w:name w:val="List Continue 5"/>
    <w:basedOn w:val="1"/>
    <w:semiHidden/>
    <w:qFormat/>
    <w:uiPriority w:val="0"/>
    <w:pPr>
      <w:spacing w:after="120"/>
      <w:ind w:left="2100" w:leftChars="1000"/>
    </w:pPr>
    <w:rPr>
      <w:rFonts w:ascii="Times New Roman" w:hAnsi="Times New Roman" w:cs="Times New Roman"/>
      <w:sz w:val="24"/>
      <w:szCs w:val="24"/>
    </w:rPr>
  </w:style>
  <w:style w:type="paragraph" w:styleId="45">
    <w:name w:val="Balloon Text"/>
    <w:basedOn w:val="1"/>
    <w:link w:val="150"/>
    <w:unhideWhenUsed/>
    <w:qFormat/>
    <w:uiPriority w:val="99"/>
    <w:rPr>
      <w:sz w:val="18"/>
      <w:szCs w:val="18"/>
    </w:rPr>
  </w:style>
  <w:style w:type="paragraph" w:styleId="46">
    <w:name w:val="footer"/>
    <w:basedOn w:val="1"/>
    <w:link w:val="138"/>
    <w:unhideWhenUsed/>
    <w:qFormat/>
    <w:uiPriority w:val="99"/>
    <w:pPr>
      <w:tabs>
        <w:tab w:val="center" w:pos="4153"/>
        <w:tab w:val="right" w:pos="8306"/>
      </w:tabs>
      <w:snapToGrid w:val="0"/>
      <w:jc w:val="left"/>
    </w:pPr>
    <w:rPr>
      <w:sz w:val="18"/>
      <w:szCs w:val="18"/>
    </w:rPr>
  </w:style>
  <w:style w:type="paragraph" w:styleId="47">
    <w:name w:val="envelope return"/>
    <w:basedOn w:val="1"/>
    <w:semiHidden/>
    <w:qFormat/>
    <w:uiPriority w:val="0"/>
    <w:pPr>
      <w:snapToGrid w:val="0"/>
    </w:pPr>
    <w:rPr>
      <w:rFonts w:ascii="Arial" w:hAnsi="Arial" w:cs="Arial"/>
      <w:sz w:val="24"/>
      <w:szCs w:val="24"/>
    </w:rPr>
  </w:style>
  <w:style w:type="paragraph" w:styleId="48">
    <w:name w:val="header"/>
    <w:basedOn w:val="1"/>
    <w:link w:val="137"/>
    <w:unhideWhenUsed/>
    <w:qFormat/>
    <w:uiPriority w:val="99"/>
    <w:pPr>
      <w:pBdr>
        <w:bottom w:val="single" w:color="auto" w:sz="6" w:space="1"/>
      </w:pBdr>
      <w:tabs>
        <w:tab w:val="center" w:pos="4153"/>
        <w:tab w:val="right" w:pos="8306"/>
      </w:tabs>
      <w:snapToGrid w:val="0"/>
      <w:jc w:val="center"/>
    </w:pPr>
    <w:rPr>
      <w:sz w:val="18"/>
      <w:szCs w:val="18"/>
    </w:rPr>
  </w:style>
  <w:style w:type="paragraph" w:styleId="49">
    <w:name w:val="Signature"/>
    <w:basedOn w:val="1"/>
    <w:link w:val="200"/>
    <w:semiHidden/>
    <w:qFormat/>
    <w:uiPriority w:val="0"/>
    <w:pPr>
      <w:ind w:left="100" w:leftChars="2100"/>
    </w:pPr>
    <w:rPr>
      <w:rFonts w:ascii="Times New Roman" w:hAnsi="Times New Roman" w:cs="Times New Roman"/>
      <w:sz w:val="24"/>
      <w:szCs w:val="24"/>
    </w:rPr>
  </w:style>
  <w:style w:type="paragraph" w:styleId="50">
    <w:name w:val="toc 1"/>
    <w:basedOn w:val="1"/>
    <w:next w:val="1"/>
    <w:unhideWhenUsed/>
    <w:qFormat/>
    <w:uiPriority w:val="39"/>
  </w:style>
  <w:style w:type="paragraph" w:styleId="51">
    <w:name w:val="List Continue 4"/>
    <w:basedOn w:val="1"/>
    <w:semiHidden/>
    <w:qFormat/>
    <w:uiPriority w:val="0"/>
    <w:pPr>
      <w:spacing w:after="120"/>
      <w:ind w:left="1680" w:leftChars="800"/>
    </w:pPr>
    <w:rPr>
      <w:rFonts w:ascii="Times New Roman" w:hAnsi="Times New Roman" w:cs="Times New Roman"/>
      <w:sz w:val="24"/>
      <w:szCs w:val="24"/>
    </w:rPr>
  </w:style>
  <w:style w:type="paragraph" w:styleId="52">
    <w:name w:val="toc 4"/>
    <w:basedOn w:val="1"/>
    <w:next w:val="1"/>
    <w:unhideWhenUsed/>
    <w:qFormat/>
    <w:uiPriority w:val="39"/>
    <w:pPr>
      <w:ind w:left="1260" w:leftChars="600"/>
    </w:pPr>
  </w:style>
  <w:style w:type="paragraph" w:styleId="53">
    <w:name w:val="Subtitle"/>
    <w:basedOn w:val="1"/>
    <w:next w:val="1"/>
    <w:link w:val="176"/>
    <w:qFormat/>
    <w:uiPriority w:val="11"/>
    <w:pPr>
      <w:spacing w:before="240" w:after="60" w:line="312" w:lineRule="auto"/>
      <w:jc w:val="center"/>
      <w:outlineLvl w:val="1"/>
    </w:pPr>
    <w:rPr>
      <w:rFonts w:ascii="Cambria" w:hAnsi="Cambria" w:cs="Times New Roman"/>
      <w:b/>
      <w:bCs/>
      <w:kern w:val="28"/>
      <w:sz w:val="32"/>
      <w:szCs w:val="32"/>
    </w:rPr>
  </w:style>
  <w:style w:type="paragraph" w:styleId="54">
    <w:name w:val="List Number 5"/>
    <w:basedOn w:val="1"/>
    <w:semiHidden/>
    <w:qFormat/>
    <w:uiPriority w:val="0"/>
    <w:pPr>
      <w:tabs>
        <w:tab w:val="left" w:pos="2040"/>
      </w:tabs>
      <w:ind w:left="2040" w:leftChars="800" w:hanging="360" w:hangingChars="200"/>
    </w:pPr>
    <w:rPr>
      <w:rFonts w:ascii="Times New Roman" w:hAnsi="Times New Roman" w:cs="Times New Roman"/>
      <w:sz w:val="24"/>
      <w:szCs w:val="24"/>
    </w:rPr>
  </w:style>
  <w:style w:type="paragraph" w:styleId="55">
    <w:name w:val="List"/>
    <w:basedOn w:val="1"/>
    <w:semiHidden/>
    <w:qFormat/>
    <w:uiPriority w:val="0"/>
    <w:pPr>
      <w:ind w:left="200" w:hanging="200" w:hangingChars="200"/>
    </w:pPr>
    <w:rPr>
      <w:rFonts w:ascii="Times New Roman" w:hAnsi="Times New Roman" w:cs="Times New Roman"/>
      <w:sz w:val="24"/>
      <w:szCs w:val="24"/>
    </w:rPr>
  </w:style>
  <w:style w:type="paragraph" w:styleId="56">
    <w:name w:val="footnote text"/>
    <w:basedOn w:val="1"/>
    <w:link w:val="273"/>
    <w:qFormat/>
    <w:uiPriority w:val="0"/>
    <w:pPr>
      <w:snapToGrid w:val="0"/>
      <w:jc w:val="left"/>
    </w:pPr>
    <w:rPr>
      <w:rFonts w:asciiTheme="minorHAnsi" w:hAnsiTheme="minorHAnsi" w:eastAsiaTheme="minorEastAsia" w:cstheme="minorBidi"/>
      <w:sz w:val="18"/>
      <w:szCs w:val="18"/>
    </w:rPr>
  </w:style>
  <w:style w:type="paragraph" w:styleId="57">
    <w:name w:val="toc 6"/>
    <w:basedOn w:val="1"/>
    <w:next w:val="1"/>
    <w:unhideWhenUsed/>
    <w:qFormat/>
    <w:uiPriority w:val="39"/>
    <w:pPr>
      <w:ind w:left="2100" w:leftChars="1000"/>
    </w:pPr>
  </w:style>
  <w:style w:type="paragraph" w:styleId="58">
    <w:name w:val="List 5"/>
    <w:basedOn w:val="1"/>
    <w:semiHidden/>
    <w:qFormat/>
    <w:uiPriority w:val="0"/>
    <w:pPr>
      <w:ind w:left="100" w:leftChars="800" w:hanging="200" w:hangingChars="200"/>
    </w:pPr>
    <w:rPr>
      <w:rFonts w:ascii="Times New Roman" w:hAnsi="Times New Roman" w:cs="Times New Roman"/>
      <w:sz w:val="24"/>
      <w:szCs w:val="24"/>
    </w:rPr>
  </w:style>
  <w:style w:type="paragraph" w:styleId="59">
    <w:name w:val="Body Text Indent 3"/>
    <w:basedOn w:val="1"/>
    <w:link w:val="162"/>
    <w:unhideWhenUsed/>
    <w:qFormat/>
    <w:uiPriority w:val="0"/>
    <w:pPr>
      <w:spacing w:after="120"/>
      <w:ind w:left="420" w:leftChars="200"/>
    </w:pPr>
    <w:rPr>
      <w:sz w:val="16"/>
      <w:szCs w:val="16"/>
    </w:rPr>
  </w:style>
  <w:style w:type="paragraph" w:styleId="60">
    <w:name w:val="toc 2"/>
    <w:basedOn w:val="1"/>
    <w:next w:val="1"/>
    <w:unhideWhenUsed/>
    <w:qFormat/>
    <w:uiPriority w:val="39"/>
    <w:pPr>
      <w:ind w:left="420" w:leftChars="200"/>
    </w:pPr>
  </w:style>
  <w:style w:type="paragraph" w:styleId="61">
    <w:name w:val="toc 9"/>
    <w:basedOn w:val="1"/>
    <w:next w:val="1"/>
    <w:unhideWhenUsed/>
    <w:qFormat/>
    <w:uiPriority w:val="39"/>
    <w:pPr>
      <w:ind w:left="3360" w:leftChars="1600"/>
    </w:pPr>
  </w:style>
  <w:style w:type="paragraph" w:styleId="62">
    <w:name w:val="Body Text 2"/>
    <w:basedOn w:val="1"/>
    <w:link w:val="204"/>
    <w:semiHidden/>
    <w:qFormat/>
    <w:uiPriority w:val="0"/>
    <w:pPr>
      <w:spacing w:after="120" w:line="480" w:lineRule="auto"/>
    </w:pPr>
    <w:rPr>
      <w:rFonts w:ascii="Times New Roman" w:hAnsi="Times New Roman" w:cs="Times New Roman"/>
      <w:sz w:val="24"/>
      <w:szCs w:val="24"/>
    </w:rPr>
  </w:style>
  <w:style w:type="paragraph" w:styleId="63">
    <w:name w:val="List 4"/>
    <w:basedOn w:val="1"/>
    <w:semiHidden/>
    <w:qFormat/>
    <w:uiPriority w:val="0"/>
    <w:pPr>
      <w:ind w:left="100" w:leftChars="600" w:hanging="200" w:hangingChars="200"/>
    </w:pPr>
    <w:rPr>
      <w:rFonts w:ascii="Times New Roman" w:hAnsi="Times New Roman" w:cs="Times New Roman"/>
      <w:sz w:val="24"/>
      <w:szCs w:val="24"/>
    </w:rPr>
  </w:style>
  <w:style w:type="paragraph" w:styleId="64">
    <w:name w:val="List Continue 2"/>
    <w:basedOn w:val="1"/>
    <w:semiHidden/>
    <w:qFormat/>
    <w:uiPriority w:val="0"/>
    <w:pPr>
      <w:spacing w:after="120"/>
      <w:ind w:left="840" w:leftChars="400"/>
    </w:pPr>
    <w:rPr>
      <w:rFonts w:ascii="Times New Roman" w:hAnsi="Times New Roman" w:cs="Times New Roman"/>
      <w:sz w:val="24"/>
      <w:szCs w:val="24"/>
    </w:rPr>
  </w:style>
  <w:style w:type="paragraph" w:styleId="65">
    <w:name w:val="Message Header"/>
    <w:basedOn w:val="1"/>
    <w:link w:val="259"/>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Times New Roman"/>
      <w:sz w:val="24"/>
      <w:szCs w:val="24"/>
    </w:rPr>
  </w:style>
  <w:style w:type="paragraph" w:styleId="66">
    <w:name w:val="HTML Preformatted"/>
    <w:basedOn w:val="1"/>
    <w:link w:val="196"/>
    <w:qFormat/>
    <w:uiPriority w:val="0"/>
    <w:rPr>
      <w:rFonts w:ascii="Courier New" w:hAnsi="Courier New" w:cs="Times New Roman"/>
      <w:sz w:val="20"/>
      <w:szCs w:val="20"/>
    </w:rPr>
  </w:style>
  <w:style w:type="paragraph" w:styleId="67">
    <w:name w:val="Normal (Web)"/>
    <w:basedOn w:val="1"/>
    <w:qFormat/>
    <w:uiPriority w:val="0"/>
    <w:rPr>
      <w:rFonts w:ascii="Times New Roman" w:hAnsi="Times New Roman" w:cs="Times New Roman"/>
      <w:sz w:val="24"/>
      <w:szCs w:val="24"/>
    </w:rPr>
  </w:style>
  <w:style w:type="paragraph" w:styleId="68">
    <w:name w:val="List Continue 3"/>
    <w:basedOn w:val="1"/>
    <w:semiHidden/>
    <w:qFormat/>
    <w:uiPriority w:val="0"/>
    <w:pPr>
      <w:spacing w:after="120"/>
      <w:ind w:left="1260" w:leftChars="600"/>
    </w:pPr>
    <w:rPr>
      <w:rFonts w:ascii="Times New Roman" w:hAnsi="Times New Roman" w:cs="Times New Roman"/>
      <w:sz w:val="24"/>
      <w:szCs w:val="24"/>
    </w:rPr>
  </w:style>
  <w:style w:type="paragraph" w:styleId="69">
    <w:name w:val="index 1"/>
    <w:basedOn w:val="1"/>
    <w:next w:val="1"/>
    <w:semiHidden/>
    <w:qFormat/>
    <w:uiPriority w:val="0"/>
    <w:pPr>
      <w:spacing w:line="220" w:lineRule="exact"/>
      <w:jc w:val="center"/>
    </w:pPr>
    <w:rPr>
      <w:rFonts w:ascii="仿宋_GB2312" w:hAnsi="Times New Roman" w:eastAsia="仿宋_GB2312" w:cs="Times New Roman"/>
      <w:szCs w:val="21"/>
    </w:rPr>
  </w:style>
  <w:style w:type="paragraph" w:styleId="70">
    <w:name w:val="Title"/>
    <w:basedOn w:val="1"/>
    <w:link w:val="161"/>
    <w:qFormat/>
    <w:uiPriority w:val="0"/>
    <w:pPr>
      <w:spacing w:before="240" w:after="60"/>
      <w:jc w:val="center"/>
      <w:outlineLvl w:val="0"/>
    </w:pPr>
    <w:rPr>
      <w:rFonts w:ascii="Arial" w:hAnsi="Arial" w:cs="Arial"/>
      <w:b/>
      <w:bCs/>
      <w:sz w:val="32"/>
      <w:szCs w:val="32"/>
    </w:rPr>
  </w:style>
  <w:style w:type="paragraph" w:styleId="71">
    <w:name w:val="annotation subject"/>
    <w:basedOn w:val="22"/>
    <w:next w:val="22"/>
    <w:link w:val="268"/>
    <w:qFormat/>
    <w:uiPriority w:val="0"/>
    <w:rPr>
      <w:rFonts w:asciiTheme="minorHAnsi" w:hAnsiTheme="minorHAnsi" w:eastAsiaTheme="minorEastAsia" w:cstheme="minorBidi"/>
      <w:b/>
      <w:bCs/>
    </w:rPr>
  </w:style>
  <w:style w:type="paragraph" w:styleId="72">
    <w:name w:val="Body Text First Indent"/>
    <w:basedOn w:val="27"/>
    <w:link w:val="158"/>
    <w:unhideWhenUsed/>
    <w:qFormat/>
    <w:uiPriority w:val="99"/>
    <w:pPr>
      <w:widowControl w:val="0"/>
      <w:spacing w:before="0"/>
      <w:ind w:firstLine="420" w:firstLineChars="100"/>
    </w:pPr>
    <w:rPr>
      <w:rFonts w:ascii="AMGDT" w:hAnsi="AMGDT" w:cs="Wingdings"/>
      <w:color w:val="auto"/>
      <w:kern w:val="2"/>
      <w:sz w:val="21"/>
      <w:szCs w:val="22"/>
      <w:lang w:eastAsia="zh-CN"/>
    </w:rPr>
  </w:style>
  <w:style w:type="paragraph" w:styleId="73">
    <w:name w:val="Body Text First Indent 2"/>
    <w:basedOn w:val="28"/>
    <w:link w:val="203"/>
    <w:semiHidden/>
    <w:qFormat/>
    <w:uiPriority w:val="0"/>
    <w:pPr>
      <w:ind w:firstLine="420" w:firstLineChars="200"/>
    </w:pPr>
    <w:rPr>
      <w:rFonts w:ascii="Times New Roman" w:hAnsi="Times New Roman" w:cs="Times New Roman"/>
      <w:sz w:val="24"/>
      <w:szCs w:val="24"/>
    </w:rPr>
  </w:style>
  <w:style w:type="table" w:styleId="75">
    <w:name w:val="Table Grid"/>
    <w:basedOn w:val="7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6">
    <w:name w:val="Table Theme"/>
    <w:basedOn w:val="74"/>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7">
    <w:name w:val="Table Colorful 1"/>
    <w:basedOn w:val="74"/>
    <w:semiHidden/>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78">
    <w:name w:val="Table Colorful 2"/>
    <w:basedOn w:val="74"/>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79">
    <w:name w:val="Table Colorful 3"/>
    <w:basedOn w:val="74"/>
    <w:semiHidden/>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0">
    <w:name w:val="Table Elegant"/>
    <w:basedOn w:val="74"/>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1">
    <w:name w:val="Table Classic 1"/>
    <w:basedOn w:val="7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Table Classic 2"/>
    <w:basedOn w:val="74"/>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3">
    <w:name w:val="Table Classic 3"/>
    <w:basedOn w:val="74"/>
    <w:semiHidden/>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4">
    <w:name w:val="Table Classic 4"/>
    <w:basedOn w:val="74"/>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85">
    <w:name w:val="Table Simple 1"/>
    <w:basedOn w:val="74"/>
    <w:semiHidden/>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86">
    <w:name w:val="Table Simple 2"/>
    <w:basedOn w:val="74"/>
    <w:semiHidden/>
    <w:qFormat/>
    <w:uiPriority w:val="0"/>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87">
    <w:name w:val="Table Simple 3"/>
    <w:basedOn w:val="7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88">
    <w:name w:val="Table Subtle 1"/>
    <w:basedOn w:val="74"/>
    <w:semiHidden/>
    <w:qFormat/>
    <w:uiPriority w:val="0"/>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9">
    <w:name w:val="Table Subtle 2"/>
    <w:basedOn w:val="74"/>
    <w:semiHidden/>
    <w:qFormat/>
    <w:uiPriority w:val="0"/>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0">
    <w:name w:val="Table 3D effects 1"/>
    <w:basedOn w:val="74"/>
    <w:semiHidden/>
    <w:qFormat/>
    <w:uiPriority w:val="0"/>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1">
    <w:name w:val="Table 3D effects 2"/>
    <w:basedOn w:val="74"/>
    <w:semiHidden/>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2">
    <w:name w:val="Table 3D effects 3"/>
    <w:basedOn w:val="74"/>
    <w:semiHidden/>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3">
    <w:name w:val="Table List 1"/>
    <w:basedOn w:val="74"/>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4">
    <w:name w:val="Table List 2"/>
    <w:basedOn w:val="74"/>
    <w:semiHidden/>
    <w:qFormat/>
    <w:uiPriority w:val="0"/>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5">
    <w:name w:val="Table List 3"/>
    <w:basedOn w:val="74"/>
    <w:semiHidden/>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96">
    <w:name w:val="Table List 4"/>
    <w:basedOn w:val="7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97">
    <w:name w:val="Table List 5"/>
    <w:basedOn w:val="7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98">
    <w:name w:val="Table List 6"/>
    <w:basedOn w:val="74"/>
    <w:semiHidden/>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99">
    <w:name w:val="Table List 7"/>
    <w:basedOn w:val="74"/>
    <w:semiHidden/>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0">
    <w:name w:val="Table List 8"/>
    <w:basedOn w:val="7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1">
    <w:name w:val="Table Contemporary"/>
    <w:basedOn w:val="74"/>
    <w:semiHidden/>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2">
    <w:name w:val="Table Columns 1"/>
    <w:basedOn w:val="7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Columns 2"/>
    <w:basedOn w:val="74"/>
    <w:semiHidden/>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Columns 3"/>
    <w:basedOn w:val="74"/>
    <w:semiHidden/>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5">
    <w:name w:val="Table Columns 4"/>
    <w:basedOn w:val="74"/>
    <w:semiHidden/>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6">
    <w:name w:val="Table Columns 5"/>
    <w:basedOn w:val="74"/>
    <w:semiHidden/>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7">
    <w:name w:val="Table Grid 1"/>
    <w:basedOn w:val="7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08">
    <w:name w:val="Table Grid 2"/>
    <w:basedOn w:val="74"/>
    <w:semiHidden/>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9">
    <w:name w:val="Table Grid 3"/>
    <w:basedOn w:val="74"/>
    <w:semiHidden/>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0">
    <w:name w:val="Table Grid 4"/>
    <w:basedOn w:val="74"/>
    <w:semiHidden/>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1">
    <w:name w:val="Table Grid 5"/>
    <w:basedOn w:val="7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2">
    <w:name w:val="Table Grid 6"/>
    <w:basedOn w:val="74"/>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7"/>
    <w:basedOn w:val="74"/>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4">
    <w:name w:val="Table Grid 8"/>
    <w:basedOn w:val="74"/>
    <w:semiHidden/>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15">
    <w:name w:val="Table Web 1"/>
    <w:basedOn w:val="74"/>
    <w:semiHidden/>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6">
    <w:name w:val="Table Web 2"/>
    <w:basedOn w:val="74"/>
    <w:semiHidden/>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7">
    <w:name w:val="Table Web 3"/>
    <w:basedOn w:val="74"/>
    <w:semiHidden/>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8">
    <w:name w:val="Table Professional"/>
    <w:basedOn w:val="74"/>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120">
    <w:name w:val="Strong"/>
    <w:qFormat/>
    <w:uiPriority w:val="0"/>
    <w:rPr>
      <w:b/>
      <w:bCs/>
    </w:rPr>
  </w:style>
  <w:style w:type="character" w:styleId="121">
    <w:name w:val="endnote reference"/>
    <w:qFormat/>
    <w:uiPriority w:val="0"/>
    <w:rPr>
      <w:vertAlign w:val="superscript"/>
    </w:rPr>
  </w:style>
  <w:style w:type="character" w:styleId="122">
    <w:name w:val="page number"/>
    <w:basedOn w:val="119"/>
    <w:qFormat/>
    <w:uiPriority w:val="0"/>
  </w:style>
  <w:style w:type="character" w:styleId="123">
    <w:name w:val="FollowedHyperlink"/>
    <w:qFormat/>
    <w:uiPriority w:val="99"/>
    <w:rPr>
      <w:color w:val="800080"/>
      <w:u w:val="single"/>
    </w:rPr>
  </w:style>
  <w:style w:type="character" w:styleId="124">
    <w:name w:val="Emphasis"/>
    <w:qFormat/>
    <w:uiPriority w:val="0"/>
    <w:rPr>
      <w:i/>
      <w:iCs/>
    </w:rPr>
  </w:style>
  <w:style w:type="character" w:styleId="125">
    <w:name w:val="line number"/>
    <w:basedOn w:val="119"/>
    <w:semiHidden/>
    <w:qFormat/>
    <w:uiPriority w:val="0"/>
  </w:style>
  <w:style w:type="character" w:styleId="126">
    <w:name w:val="HTML Definition"/>
    <w:semiHidden/>
    <w:qFormat/>
    <w:uiPriority w:val="0"/>
    <w:rPr>
      <w:i/>
      <w:iCs/>
    </w:rPr>
  </w:style>
  <w:style w:type="character" w:styleId="127">
    <w:name w:val="HTML Typewriter"/>
    <w:semiHidden/>
    <w:qFormat/>
    <w:uiPriority w:val="0"/>
    <w:rPr>
      <w:rFonts w:ascii="Courier New" w:hAnsi="Courier New" w:cs="Courier New"/>
      <w:sz w:val="20"/>
      <w:szCs w:val="20"/>
    </w:rPr>
  </w:style>
  <w:style w:type="character" w:styleId="128">
    <w:name w:val="HTML Acronym"/>
    <w:basedOn w:val="119"/>
    <w:semiHidden/>
    <w:qFormat/>
    <w:uiPriority w:val="0"/>
  </w:style>
  <w:style w:type="character" w:styleId="129">
    <w:name w:val="HTML Variable"/>
    <w:semiHidden/>
    <w:qFormat/>
    <w:uiPriority w:val="0"/>
    <w:rPr>
      <w:i/>
      <w:iCs/>
    </w:rPr>
  </w:style>
  <w:style w:type="character" w:styleId="130">
    <w:name w:val="Hyperlink"/>
    <w:basedOn w:val="119"/>
    <w:unhideWhenUsed/>
    <w:qFormat/>
    <w:uiPriority w:val="99"/>
    <w:rPr>
      <w:color w:val="0000FF" w:themeColor="hyperlink"/>
      <w:u w:val="single"/>
      <w14:textFill>
        <w14:solidFill>
          <w14:schemeClr w14:val="hlink"/>
        </w14:solidFill>
      </w14:textFill>
    </w:rPr>
  </w:style>
  <w:style w:type="character" w:styleId="131">
    <w:name w:val="HTML Code"/>
    <w:semiHidden/>
    <w:qFormat/>
    <w:uiPriority w:val="0"/>
    <w:rPr>
      <w:rFonts w:ascii="Courier New" w:hAnsi="Courier New" w:cs="Courier New"/>
      <w:sz w:val="20"/>
      <w:szCs w:val="20"/>
    </w:rPr>
  </w:style>
  <w:style w:type="character" w:styleId="132">
    <w:name w:val="annotation reference"/>
    <w:qFormat/>
    <w:uiPriority w:val="0"/>
    <w:rPr>
      <w:sz w:val="21"/>
      <w:szCs w:val="21"/>
    </w:rPr>
  </w:style>
  <w:style w:type="character" w:styleId="133">
    <w:name w:val="HTML Cite"/>
    <w:semiHidden/>
    <w:qFormat/>
    <w:uiPriority w:val="0"/>
    <w:rPr>
      <w:i/>
      <w:iCs/>
    </w:rPr>
  </w:style>
  <w:style w:type="character" w:styleId="134">
    <w:name w:val="footnote reference"/>
    <w:qFormat/>
    <w:uiPriority w:val="0"/>
    <w:rPr>
      <w:vertAlign w:val="superscript"/>
    </w:rPr>
  </w:style>
  <w:style w:type="character" w:styleId="135">
    <w:name w:val="HTML Keyboard"/>
    <w:semiHidden/>
    <w:qFormat/>
    <w:uiPriority w:val="0"/>
    <w:rPr>
      <w:rFonts w:ascii="Courier New" w:hAnsi="Courier New" w:cs="Courier New"/>
      <w:sz w:val="20"/>
      <w:szCs w:val="20"/>
    </w:rPr>
  </w:style>
  <w:style w:type="character" w:styleId="136">
    <w:name w:val="HTML Sample"/>
    <w:semiHidden/>
    <w:qFormat/>
    <w:uiPriority w:val="0"/>
    <w:rPr>
      <w:rFonts w:ascii="Courier New" w:hAnsi="Courier New" w:cs="Courier New"/>
    </w:rPr>
  </w:style>
  <w:style w:type="character" w:customStyle="1" w:styleId="137">
    <w:name w:val="页眉 字符"/>
    <w:basedOn w:val="119"/>
    <w:link w:val="48"/>
    <w:qFormat/>
    <w:uiPriority w:val="99"/>
    <w:rPr>
      <w:sz w:val="18"/>
      <w:szCs w:val="18"/>
    </w:rPr>
  </w:style>
  <w:style w:type="character" w:customStyle="1" w:styleId="138">
    <w:name w:val="页脚 字符"/>
    <w:basedOn w:val="119"/>
    <w:link w:val="46"/>
    <w:qFormat/>
    <w:uiPriority w:val="99"/>
    <w:rPr>
      <w:sz w:val="18"/>
      <w:szCs w:val="18"/>
    </w:rPr>
  </w:style>
  <w:style w:type="character" w:customStyle="1" w:styleId="139">
    <w:name w:val="标题 2 Char"/>
    <w:basedOn w:val="119"/>
    <w:qFormat/>
    <w:uiPriority w:val="9"/>
    <w:rPr>
      <w:rFonts w:asciiTheme="majorHAnsi" w:hAnsiTheme="majorHAnsi" w:eastAsiaTheme="majorEastAsia" w:cstheme="majorBidi"/>
      <w:b/>
      <w:bCs/>
      <w:sz w:val="32"/>
      <w:szCs w:val="32"/>
    </w:rPr>
  </w:style>
  <w:style w:type="character" w:customStyle="1" w:styleId="140">
    <w:name w:val="标题 2 字符"/>
    <w:basedOn w:val="119"/>
    <w:link w:val="3"/>
    <w:qFormat/>
    <w:uiPriority w:val="0"/>
    <w:rPr>
      <w:rFonts w:ascii="Arial Narrow" w:hAnsi="Arial Narrow" w:eastAsia="Times New Roman" w:cs="Wingdings"/>
      <w:b/>
      <w:bCs/>
      <w:sz w:val="32"/>
      <w:szCs w:val="32"/>
    </w:rPr>
  </w:style>
  <w:style w:type="character" w:customStyle="1" w:styleId="141">
    <w:name w:val="文档结构图 字符"/>
    <w:basedOn w:val="119"/>
    <w:link w:val="21"/>
    <w:qFormat/>
    <w:uiPriority w:val="99"/>
    <w:rPr>
      <w:rFonts w:ascii="宋体" w:hAnsi="AMGDT" w:eastAsia="宋体" w:cs="Wingdings"/>
      <w:sz w:val="18"/>
      <w:szCs w:val="18"/>
    </w:rPr>
  </w:style>
  <w:style w:type="character" w:customStyle="1" w:styleId="142">
    <w:name w:val="wangzheng Char Char"/>
    <w:link w:val="143"/>
    <w:qFormat/>
    <w:uiPriority w:val="0"/>
    <w:rPr>
      <w:rFonts w:ascii="宋体" w:hAnsi="宋体" w:eastAsia="宋体" w:cs="宋体"/>
      <w:sz w:val="24"/>
    </w:rPr>
  </w:style>
  <w:style w:type="paragraph" w:customStyle="1" w:styleId="143">
    <w:name w:val="wangzheng"/>
    <w:basedOn w:val="1"/>
    <w:link w:val="142"/>
    <w:qFormat/>
    <w:uiPriority w:val="0"/>
    <w:pPr>
      <w:spacing w:line="500" w:lineRule="exact"/>
      <w:ind w:firstLine="480" w:firstLineChars="200"/>
    </w:pPr>
    <w:rPr>
      <w:rFonts w:ascii="宋体" w:hAnsi="宋体" w:cs="宋体"/>
      <w:sz w:val="24"/>
    </w:rPr>
  </w:style>
  <w:style w:type="character" w:customStyle="1" w:styleId="144">
    <w:name w:val="标题 4 字符"/>
    <w:basedOn w:val="119"/>
    <w:link w:val="5"/>
    <w:qFormat/>
    <w:uiPriority w:val="9"/>
    <w:rPr>
      <w:rFonts w:asciiTheme="majorHAnsi" w:hAnsiTheme="majorHAnsi" w:eastAsiaTheme="majorEastAsia" w:cstheme="majorBidi"/>
      <w:b/>
      <w:bCs/>
      <w:sz w:val="28"/>
      <w:szCs w:val="28"/>
    </w:rPr>
  </w:style>
  <w:style w:type="paragraph" w:customStyle="1" w:styleId="145">
    <w:name w:val="列出段落1"/>
    <w:basedOn w:val="1"/>
    <w:qFormat/>
    <w:uiPriority w:val="0"/>
    <w:pPr>
      <w:ind w:firstLine="420" w:firstLineChars="200"/>
    </w:pPr>
  </w:style>
  <w:style w:type="paragraph" w:customStyle="1" w:styleId="146">
    <w:name w:val="wang3"/>
    <w:basedOn w:val="4"/>
    <w:qFormat/>
    <w:uiPriority w:val="0"/>
    <w:pPr>
      <w:tabs>
        <w:tab w:val="left" w:pos="1620"/>
      </w:tabs>
      <w:spacing w:before="0" w:after="0" w:line="500" w:lineRule="exact"/>
    </w:pPr>
    <w:rPr>
      <w:rFonts w:ascii="宋体" w:hAnsi="宋体" w:cs="宋体"/>
      <w:sz w:val="24"/>
      <w:szCs w:val="20"/>
    </w:rPr>
  </w:style>
  <w:style w:type="character" w:customStyle="1" w:styleId="147">
    <w:name w:val="标题 3 字符"/>
    <w:basedOn w:val="119"/>
    <w:link w:val="4"/>
    <w:qFormat/>
    <w:uiPriority w:val="0"/>
    <w:rPr>
      <w:rFonts w:ascii="AMGDT" w:hAnsi="AMGDT" w:eastAsia="宋体" w:cs="Wingdings"/>
      <w:b/>
      <w:bCs/>
      <w:sz w:val="32"/>
      <w:szCs w:val="32"/>
    </w:rPr>
  </w:style>
  <w:style w:type="character" w:customStyle="1" w:styleId="148">
    <w:name w:val="纯文本 Char"/>
    <w:qFormat/>
    <w:uiPriority w:val="0"/>
    <w:rPr>
      <w:rFonts w:ascii="宋体" w:hAnsi="Courier New" w:eastAsia="宋体" w:cs="Courier New"/>
      <w:szCs w:val="21"/>
    </w:rPr>
  </w:style>
  <w:style w:type="character" w:customStyle="1" w:styleId="149">
    <w:name w:val="纯文本 字符"/>
    <w:basedOn w:val="119"/>
    <w:link w:val="37"/>
    <w:qFormat/>
    <w:uiPriority w:val="0"/>
    <w:rPr>
      <w:rFonts w:ascii="宋体" w:hAnsi="Courier New" w:eastAsia="宋体" w:cs="Courier New"/>
      <w:szCs w:val="21"/>
    </w:rPr>
  </w:style>
  <w:style w:type="character" w:customStyle="1" w:styleId="150">
    <w:name w:val="批注框文本 字符"/>
    <w:basedOn w:val="119"/>
    <w:link w:val="45"/>
    <w:qFormat/>
    <w:uiPriority w:val="99"/>
    <w:rPr>
      <w:rFonts w:ascii="AMGDT" w:hAnsi="AMGDT" w:eastAsia="宋体" w:cs="Wingdings"/>
      <w:sz w:val="18"/>
      <w:szCs w:val="18"/>
    </w:rPr>
  </w:style>
  <w:style w:type="paragraph" w:customStyle="1" w:styleId="151">
    <w:name w:val="IDS 正文"/>
    <w:basedOn w:val="1"/>
    <w:qFormat/>
    <w:uiPriority w:val="0"/>
    <w:pPr>
      <w:spacing w:after="120" w:line="360" w:lineRule="auto"/>
      <w:ind w:right="-108"/>
      <w:jc w:val="center"/>
    </w:pPr>
    <w:rPr>
      <w:rFonts w:ascii="Arial" w:hAnsi="Arial" w:cs="Arial"/>
      <w:color w:val="000000"/>
      <w:szCs w:val="21"/>
    </w:rPr>
  </w:style>
  <w:style w:type="paragraph" w:customStyle="1" w:styleId="152">
    <w:name w:val="段"/>
    <w:link w:val="15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3">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character" w:customStyle="1" w:styleId="154">
    <w:name w:val="段 Char"/>
    <w:basedOn w:val="119"/>
    <w:link w:val="152"/>
    <w:qFormat/>
    <w:uiPriority w:val="0"/>
    <w:rPr>
      <w:rFonts w:ascii="宋体" w:hAnsi="Times New Roman" w:eastAsia="宋体" w:cs="Times New Roman"/>
      <w:kern w:val="0"/>
      <w:szCs w:val="20"/>
    </w:rPr>
  </w:style>
  <w:style w:type="paragraph" w:customStyle="1" w:styleId="155">
    <w:name w:val="一级条标题"/>
    <w:next w:val="15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56">
    <w:name w:val="章标题"/>
    <w:next w:val="15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character" w:customStyle="1" w:styleId="157">
    <w:name w:val="正文文本 字符"/>
    <w:basedOn w:val="119"/>
    <w:link w:val="27"/>
    <w:qFormat/>
    <w:uiPriority w:val="0"/>
    <w:rPr>
      <w:rFonts w:ascii="Times New Roman" w:hAnsi="Times New Roman" w:eastAsia="宋体" w:cs="Times New Roman"/>
      <w:color w:val="000000"/>
      <w:kern w:val="0"/>
      <w:sz w:val="22"/>
      <w:szCs w:val="20"/>
      <w:lang w:eastAsia="en-US"/>
    </w:rPr>
  </w:style>
  <w:style w:type="character" w:customStyle="1" w:styleId="158">
    <w:name w:val="正文首行缩进 字符"/>
    <w:basedOn w:val="157"/>
    <w:link w:val="72"/>
    <w:qFormat/>
    <w:uiPriority w:val="99"/>
    <w:rPr>
      <w:rFonts w:ascii="AMGDT" w:hAnsi="AMGDT" w:eastAsia="宋体" w:cs="Wingdings"/>
      <w:color w:val="000000"/>
      <w:kern w:val="0"/>
      <w:sz w:val="22"/>
      <w:szCs w:val="20"/>
      <w:lang w:eastAsia="en-US"/>
    </w:rPr>
  </w:style>
  <w:style w:type="paragraph" w:customStyle="1" w:styleId="159">
    <w:name w:val="p0"/>
    <w:basedOn w:val="1"/>
    <w:qFormat/>
    <w:uiPriority w:val="0"/>
    <w:pPr>
      <w:widowControl/>
    </w:pPr>
    <w:rPr>
      <w:rFonts w:ascii="Times New Roman" w:hAnsi="Times New Roman" w:cs="Times New Roman"/>
      <w:kern w:val="0"/>
      <w:szCs w:val="21"/>
    </w:rPr>
  </w:style>
  <w:style w:type="paragraph" w:customStyle="1" w:styleId="16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61">
    <w:name w:val="标题 字符"/>
    <w:basedOn w:val="119"/>
    <w:link w:val="70"/>
    <w:qFormat/>
    <w:uiPriority w:val="0"/>
    <w:rPr>
      <w:rFonts w:ascii="Arial" w:hAnsi="Arial" w:eastAsia="宋体" w:cs="Arial"/>
      <w:b/>
      <w:bCs/>
      <w:sz w:val="32"/>
      <w:szCs w:val="32"/>
    </w:rPr>
  </w:style>
  <w:style w:type="character" w:customStyle="1" w:styleId="162">
    <w:name w:val="正文文本缩进 3 字符"/>
    <w:basedOn w:val="119"/>
    <w:link w:val="59"/>
    <w:qFormat/>
    <w:uiPriority w:val="0"/>
    <w:rPr>
      <w:rFonts w:ascii="AMGDT" w:hAnsi="AMGDT" w:eastAsia="宋体" w:cs="Wingdings"/>
      <w:sz w:val="16"/>
      <w:szCs w:val="16"/>
    </w:rPr>
  </w:style>
  <w:style w:type="character" w:customStyle="1" w:styleId="163">
    <w:name w:val="正文文本缩进 字符"/>
    <w:basedOn w:val="119"/>
    <w:link w:val="28"/>
    <w:qFormat/>
    <w:uiPriority w:val="0"/>
    <w:rPr>
      <w:rFonts w:ascii="AMGDT" w:hAnsi="AMGDT" w:eastAsia="宋体" w:cs="Wingdings"/>
    </w:rPr>
  </w:style>
  <w:style w:type="paragraph" w:customStyle="1" w:styleId="164">
    <w:name w:val="1级标题"/>
    <w:basedOn w:val="2"/>
    <w:qFormat/>
    <w:uiPriority w:val="0"/>
    <w:pPr>
      <w:spacing w:before="200" w:after="200" w:line="360" w:lineRule="auto"/>
      <w:contextualSpacing/>
      <w:jc w:val="center"/>
    </w:pPr>
    <w:rPr>
      <w:rFonts w:ascii="宋体" w:hAnsi="Times New Roman" w:cs="Times New Roman"/>
      <w:b w:val="0"/>
      <w:bCs w:val="0"/>
      <w:kern w:val="2"/>
      <w:sz w:val="24"/>
      <w:szCs w:val="24"/>
    </w:rPr>
  </w:style>
  <w:style w:type="character" w:customStyle="1" w:styleId="165">
    <w:name w:val="标题 1 字符"/>
    <w:basedOn w:val="119"/>
    <w:link w:val="2"/>
    <w:qFormat/>
    <w:uiPriority w:val="0"/>
    <w:rPr>
      <w:rFonts w:ascii="AMGDT" w:hAnsi="AMGDT" w:eastAsia="宋体" w:cs="Wingdings"/>
      <w:b/>
      <w:bCs/>
      <w:kern w:val="44"/>
      <w:sz w:val="44"/>
      <w:szCs w:val="44"/>
    </w:rPr>
  </w:style>
  <w:style w:type="character" w:customStyle="1" w:styleId="166">
    <w:name w:val="正文文本缩进 2 字符"/>
    <w:basedOn w:val="119"/>
    <w:link w:val="42"/>
    <w:qFormat/>
    <w:uiPriority w:val="0"/>
    <w:rPr>
      <w:rFonts w:ascii="AMGDT" w:hAnsi="AMGDT" w:eastAsia="宋体" w:cs="Wingdings"/>
    </w:rPr>
  </w:style>
  <w:style w:type="paragraph" w:customStyle="1" w:styleId="167">
    <w:name w:val="自己的内容"/>
    <w:qFormat/>
    <w:uiPriority w:val="0"/>
    <w:pPr>
      <w:widowControl w:val="0"/>
      <w:ind w:firstLine="200" w:firstLineChars="200"/>
      <w:jc w:val="both"/>
    </w:pPr>
    <w:rPr>
      <w:rFonts w:ascii="宋体" w:hAnsi="Times New Roman" w:eastAsia="宋体" w:cs="Courier New"/>
      <w:kern w:val="10"/>
      <w:sz w:val="24"/>
      <w:szCs w:val="24"/>
      <w:lang w:val="en-US" w:eastAsia="zh-CN" w:bidi="ar-SA"/>
    </w:rPr>
  </w:style>
  <w:style w:type="paragraph" w:customStyle="1" w:styleId="168">
    <w:name w:val="列出段落2"/>
    <w:basedOn w:val="1"/>
    <w:unhideWhenUsed/>
    <w:qFormat/>
    <w:uiPriority w:val="99"/>
    <w:pPr>
      <w:ind w:firstLine="420" w:firstLineChars="200"/>
    </w:pPr>
  </w:style>
  <w:style w:type="paragraph" w:customStyle="1" w:styleId="169">
    <w:name w:val="列出段落3"/>
    <w:basedOn w:val="1"/>
    <w:unhideWhenUsed/>
    <w:qFormat/>
    <w:uiPriority w:val="34"/>
    <w:pPr>
      <w:ind w:firstLine="420" w:firstLineChars="200"/>
    </w:pPr>
  </w:style>
  <w:style w:type="character" w:customStyle="1" w:styleId="170">
    <w:name w:val="标题 5 字符"/>
    <w:basedOn w:val="119"/>
    <w:link w:val="6"/>
    <w:qFormat/>
    <w:uiPriority w:val="0"/>
    <w:rPr>
      <w:rFonts w:ascii="Calibri" w:hAnsi="Calibri" w:eastAsia="宋体" w:cs="Times New Roman"/>
      <w:b/>
      <w:bCs/>
      <w:kern w:val="2"/>
      <w:sz w:val="28"/>
      <w:szCs w:val="28"/>
    </w:rPr>
  </w:style>
  <w:style w:type="character" w:customStyle="1" w:styleId="171">
    <w:name w:val="标题 6 字符"/>
    <w:basedOn w:val="119"/>
    <w:link w:val="7"/>
    <w:qFormat/>
    <w:uiPriority w:val="0"/>
    <w:rPr>
      <w:rFonts w:ascii="Cambria" w:hAnsi="Cambria" w:eastAsia="宋体" w:cs="Times New Roman"/>
      <w:b/>
      <w:bCs/>
      <w:kern w:val="2"/>
      <w:sz w:val="24"/>
      <w:szCs w:val="24"/>
    </w:rPr>
  </w:style>
  <w:style w:type="character" w:customStyle="1" w:styleId="172">
    <w:name w:val="标题 7 字符"/>
    <w:basedOn w:val="119"/>
    <w:link w:val="8"/>
    <w:qFormat/>
    <w:uiPriority w:val="0"/>
    <w:rPr>
      <w:rFonts w:ascii="Calibri" w:hAnsi="Calibri" w:eastAsia="宋体" w:cs="Times New Roman"/>
      <w:b/>
      <w:bCs/>
      <w:kern w:val="2"/>
      <w:sz w:val="24"/>
      <w:szCs w:val="24"/>
    </w:rPr>
  </w:style>
  <w:style w:type="character" w:customStyle="1" w:styleId="173">
    <w:name w:val="标题 8 字符"/>
    <w:basedOn w:val="119"/>
    <w:link w:val="9"/>
    <w:qFormat/>
    <w:uiPriority w:val="0"/>
    <w:rPr>
      <w:rFonts w:ascii="Cambria" w:hAnsi="Cambria" w:eastAsia="宋体" w:cs="Times New Roman"/>
      <w:kern w:val="2"/>
      <w:sz w:val="24"/>
      <w:szCs w:val="24"/>
    </w:rPr>
  </w:style>
  <w:style w:type="character" w:customStyle="1" w:styleId="174">
    <w:name w:val="标题 9 字符"/>
    <w:basedOn w:val="119"/>
    <w:link w:val="10"/>
    <w:qFormat/>
    <w:uiPriority w:val="0"/>
    <w:rPr>
      <w:rFonts w:ascii="Cambria" w:hAnsi="Cambria" w:eastAsia="宋体" w:cs="Times New Roman"/>
      <w:kern w:val="2"/>
      <w:sz w:val="24"/>
      <w:szCs w:val="21"/>
    </w:rPr>
  </w:style>
  <w:style w:type="character" w:customStyle="1" w:styleId="175">
    <w:name w:val="书籍标题1"/>
    <w:qFormat/>
    <w:uiPriority w:val="33"/>
    <w:rPr>
      <w:b/>
      <w:bCs/>
      <w:smallCaps/>
      <w:spacing w:val="5"/>
    </w:rPr>
  </w:style>
  <w:style w:type="character" w:customStyle="1" w:styleId="176">
    <w:name w:val="副标题 字符"/>
    <w:basedOn w:val="119"/>
    <w:link w:val="53"/>
    <w:qFormat/>
    <w:uiPriority w:val="11"/>
    <w:rPr>
      <w:rFonts w:ascii="Cambria" w:hAnsi="Cambria" w:eastAsia="宋体" w:cs="Times New Roman"/>
      <w:b/>
      <w:bCs/>
      <w:kern w:val="28"/>
      <w:sz w:val="32"/>
      <w:szCs w:val="32"/>
    </w:rPr>
  </w:style>
  <w:style w:type="paragraph" w:customStyle="1" w:styleId="177">
    <w:name w:val="列出段落31"/>
    <w:basedOn w:val="1"/>
    <w:qFormat/>
    <w:uiPriority w:val="34"/>
    <w:pPr>
      <w:spacing w:line="360" w:lineRule="auto"/>
      <w:ind w:firstLine="420" w:firstLineChars="200"/>
    </w:pPr>
    <w:rPr>
      <w:rFonts w:ascii="Calibri" w:hAnsi="Calibri" w:cs="Times New Roman"/>
      <w:sz w:val="24"/>
      <w:szCs w:val="21"/>
    </w:rPr>
  </w:style>
  <w:style w:type="character" w:customStyle="1" w:styleId="178">
    <w:name w:val="注释标题 字符"/>
    <w:basedOn w:val="119"/>
    <w:link w:val="14"/>
    <w:qFormat/>
    <w:uiPriority w:val="99"/>
    <w:rPr>
      <w:rFonts w:ascii="Calibri" w:hAnsi="Calibri" w:eastAsia="宋体" w:cs="Times New Roman"/>
      <w:kern w:val="2"/>
      <w:sz w:val="24"/>
      <w:szCs w:val="21"/>
    </w:rPr>
  </w:style>
  <w:style w:type="paragraph" w:customStyle="1" w:styleId="179">
    <w:name w:val="ww正文"/>
    <w:basedOn w:val="1"/>
    <w:link w:val="206"/>
    <w:qFormat/>
    <w:uiPriority w:val="0"/>
    <w:rPr>
      <w:rFonts w:ascii="Calibri" w:hAnsi="Calibri" w:cs="Times New Roman"/>
      <w:szCs w:val="28"/>
    </w:rPr>
  </w:style>
  <w:style w:type="paragraph" w:customStyle="1" w:styleId="180">
    <w:name w:val="w 总标题 + 居中"/>
    <w:basedOn w:val="181"/>
    <w:qFormat/>
    <w:uiPriority w:val="0"/>
    <w:pPr>
      <w:jc w:val="center"/>
    </w:pPr>
    <w:rPr>
      <w:rFonts w:cs="宋体"/>
      <w:bCs/>
      <w:szCs w:val="20"/>
    </w:rPr>
  </w:style>
  <w:style w:type="paragraph" w:customStyle="1" w:styleId="181">
    <w:name w:val="总标题"/>
    <w:basedOn w:val="1"/>
    <w:link w:val="209"/>
    <w:semiHidden/>
    <w:qFormat/>
    <w:uiPriority w:val="0"/>
    <w:rPr>
      <w:rFonts w:ascii="Calibri" w:hAnsi="Calibri" w:cs="Times New Roman"/>
      <w:b/>
      <w:sz w:val="44"/>
      <w:szCs w:val="24"/>
    </w:rPr>
  </w:style>
  <w:style w:type="paragraph" w:customStyle="1" w:styleId="182">
    <w:name w:val="1号标题"/>
    <w:basedOn w:val="181"/>
    <w:next w:val="1"/>
    <w:link w:val="210"/>
    <w:qFormat/>
    <w:uiPriority w:val="0"/>
    <w:rPr>
      <w:rFonts w:ascii="宋体" w:hAnsi="宋体"/>
      <w:sz w:val="21"/>
      <w:szCs w:val="21"/>
    </w:rPr>
  </w:style>
  <w:style w:type="paragraph" w:customStyle="1" w:styleId="183">
    <w:name w:val="2号标题"/>
    <w:basedOn w:val="1"/>
    <w:qFormat/>
    <w:uiPriority w:val="0"/>
    <w:rPr>
      <w:rFonts w:ascii="宋体" w:hAnsi="宋体" w:cs="Times New Roman"/>
      <w:szCs w:val="21"/>
    </w:rPr>
  </w:style>
  <w:style w:type="paragraph" w:customStyle="1" w:styleId="184">
    <w:name w:val="w正文居中"/>
    <w:basedOn w:val="1"/>
    <w:qFormat/>
    <w:uiPriority w:val="0"/>
    <w:pPr>
      <w:jc w:val="center"/>
    </w:pPr>
    <w:rPr>
      <w:rFonts w:ascii="黑体" w:hAnsi="Times New Roman" w:eastAsia="黑体" w:cs="宋体"/>
      <w:sz w:val="32"/>
      <w:szCs w:val="32"/>
    </w:rPr>
  </w:style>
  <w:style w:type="paragraph" w:customStyle="1" w:styleId="185">
    <w:name w:val="w正文"/>
    <w:basedOn w:val="1"/>
    <w:next w:val="1"/>
    <w:qFormat/>
    <w:uiPriority w:val="0"/>
    <w:rPr>
      <w:rFonts w:ascii="Times New Roman" w:hAnsi="Times New Roman" w:cs="Times New Roman"/>
      <w:sz w:val="24"/>
      <w:szCs w:val="24"/>
    </w:rPr>
  </w:style>
  <w:style w:type="paragraph" w:customStyle="1" w:styleId="186">
    <w:name w:val="w正"/>
    <w:basedOn w:val="1"/>
    <w:qFormat/>
    <w:uiPriority w:val="0"/>
    <w:rPr>
      <w:rFonts w:ascii="Times New Roman" w:hAnsi="Times New Roman" w:cs="Times New Roman"/>
      <w:sz w:val="24"/>
      <w:szCs w:val="24"/>
    </w:rPr>
  </w:style>
  <w:style w:type="paragraph" w:customStyle="1" w:styleId="187">
    <w:name w:val="w总标题"/>
    <w:basedOn w:val="2"/>
    <w:link w:val="207"/>
    <w:qFormat/>
    <w:uiPriority w:val="0"/>
    <w:pPr>
      <w:jc w:val="center"/>
    </w:pPr>
    <w:rPr>
      <w:rFonts w:ascii="宋体" w:hAnsi="宋体" w:cs="Times New Roman"/>
      <w:kern w:val="2"/>
      <w:sz w:val="52"/>
      <w:szCs w:val="52"/>
    </w:rPr>
  </w:style>
  <w:style w:type="paragraph" w:customStyle="1" w:styleId="188">
    <w:name w:val="w标题1"/>
    <w:basedOn w:val="1"/>
    <w:qFormat/>
    <w:uiPriority w:val="0"/>
    <w:rPr>
      <w:rFonts w:ascii="Times New Roman" w:hAnsi="Times New Roman" w:eastAsia="黑体" w:cs="Times New Roman"/>
      <w:b/>
      <w:sz w:val="32"/>
      <w:szCs w:val="24"/>
    </w:rPr>
  </w:style>
  <w:style w:type="paragraph" w:customStyle="1" w:styleId="189">
    <w:name w:val="w标题2"/>
    <w:basedOn w:val="1"/>
    <w:qFormat/>
    <w:uiPriority w:val="0"/>
    <w:rPr>
      <w:rFonts w:ascii="Times New Roman" w:hAnsi="Times New Roman" w:eastAsia="黑体" w:cs="Times New Roman"/>
      <w:sz w:val="30"/>
      <w:szCs w:val="24"/>
    </w:rPr>
  </w:style>
  <w:style w:type="paragraph" w:customStyle="1" w:styleId="190">
    <w:name w:val="样式1"/>
    <w:basedOn w:val="1"/>
    <w:qFormat/>
    <w:uiPriority w:val="0"/>
    <w:rPr>
      <w:rFonts w:ascii="Times New Roman" w:hAnsi="Times New Roman" w:cs="Times New Roman"/>
      <w:szCs w:val="24"/>
    </w:rPr>
  </w:style>
  <w:style w:type="paragraph" w:customStyle="1" w:styleId="191">
    <w:name w:val="样式2"/>
    <w:basedOn w:val="1"/>
    <w:qFormat/>
    <w:uiPriority w:val="0"/>
    <w:rPr>
      <w:rFonts w:ascii="Times New Roman" w:hAnsi="Times New Roman" w:cs="Times New Roman"/>
      <w:szCs w:val="24"/>
    </w:rPr>
  </w:style>
  <w:style w:type="paragraph" w:customStyle="1" w:styleId="192">
    <w:name w:val="w标题 1"/>
    <w:basedOn w:val="1"/>
    <w:qFormat/>
    <w:uiPriority w:val="0"/>
    <w:rPr>
      <w:rFonts w:ascii="Times New Roman" w:hAnsi="Times New Roman" w:eastAsia="黑体" w:cs="Times New Roman"/>
      <w:sz w:val="32"/>
      <w:szCs w:val="24"/>
    </w:rPr>
  </w:style>
  <w:style w:type="paragraph" w:customStyle="1" w:styleId="193">
    <w:name w:val="正文居中"/>
    <w:basedOn w:val="1"/>
    <w:qFormat/>
    <w:uiPriority w:val="0"/>
    <w:pPr>
      <w:jc w:val="center"/>
    </w:pPr>
    <w:rPr>
      <w:rFonts w:ascii="Times New Roman" w:hAnsi="Times New Roman" w:cs="Times New Roman"/>
      <w:sz w:val="24"/>
      <w:szCs w:val="24"/>
    </w:rPr>
  </w:style>
  <w:style w:type="paragraph" w:customStyle="1" w:styleId="194">
    <w:name w:val="数字"/>
    <w:basedOn w:val="1"/>
    <w:semiHidden/>
    <w:qFormat/>
    <w:uiPriority w:val="0"/>
    <w:rPr>
      <w:rFonts w:ascii="Times New Roman" w:hAnsi="Times New Roman" w:eastAsia="Times New Roman" w:cs="Times New Roman"/>
      <w:sz w:val="24"/>
      <w:szCs w:val="24"/>
    </w:rPr>
  </w:style>
  <w:style w:type="character" w:customStyle="1" w:styleId="195">
    <w:name w:val="HTML 地址 字符"/>
    <w:basedOn w:val="119"/>
    <w:link w:val="34"/>
    <w:semiHidden/>
    <w:qFormat/>
    <w:uiPriority w:val="0"/>
    <w:rPr>
      <w:rFonts w:ascii="Times New Roman" w:hAnsi="Times New Roman" w:eastAsia="宋体" w:cs="Times New Roman"/>
      <w:i/>
      <w:iCs/>
      <w:kern w:val="2"/>
      <w:sz w:val="24"/>
      <w:szCs w:val="24"/>
    </w:rPr>
  </w:style>
  <w:style w:type="character" w:customStyle="1" w:styleId="196">
    <w:name w:val="HTML 预设格式 字符"/>
    <w:basedOn w:val="119"/>
    <w:link w:val="66"/>
    <w:qFormat/>
    <w:uiPriority w:val="0"/>
    <w:rPr>
      <w:rFonts w:ascii="Courier New" w:hAnsi="Courier New" w:eastAsia="宋体" w:cs="Times New Roman"/>
      <w:kern w:val="2"/>
    </w:rPr>
  </w:style>
  <w:style w:type="character" w:customStyle="1" w:styleId="197">
    <w:name w:val="称呼 字符"/>
    <w:basedOn w:val="119"/>
    <w:link w:val="23"/>
    <w:semiHidden/>
    <w:qFormat/>
    <w:uiPriority w:val="0"/>
    <w:rPr>
      <w:rFonts w:ascii="Times New Roman" w:hAnsi="Times New Roman" w:eastAsia="宋体" w:cs="Times New Roman"/>
      <w:kern w:val="2"/>
      <w:sz w:val="24"/>
      <w:szCs w:val="24"/>
    </w:rPr>
  </w:style>
  <w:style w:type="character" w:customStyle="1" w:styleId="198">
    <w:name w:val="电子邮件签名 字符"/>
    <w:basedOn w:val="119"/>
    <w:link w:val="16"/>
    <w:semiHidden/>
    <w:qFormat/>
    <w:uiPriority w:val="0"/>
    <w:rPr>
      <w:rFonts w:ascii="Times New Roman" w:hAnsi="Times New Roman" w:eastAsia="宋体" w:cs="Times New Roman"/>
      <w:kern w:val="2"/>
      <w:sz w:val="24"/>
      <w:szCs w:val="24"/>
    </w:rPr>
  </w:style>
  <w:style w:type="character" w:customStyle="1" w:styleId="199">
    <w:name w:val="结束语 字符"/>
    <w:basedOn w:val="119"/>
    <w:link w:val="25"/>
    <w:semiHidden/>
    <w:qFormat/>
    <w:uiPriority w:val="0"/>
    <w:rPr>
      <w:rFonts w:ascii="Times New Roman" w:hAnsi="Times New Roman" w:eastAsia="宋体" w:cs="Times New Roman"/>
      <w:kern w:val="2"/>
      <w:sz w:val="24"/>
      <w:szCs w:val="24"/>
    </w:rPr>
  </w:style>
  <w:style w:type="character" w:customStyle="1" w:styleId="200">
    <w:name w:val="签名 字符"/>
    <w:basedOn w:val="119"/>
    <w:link w:val="49"/>
    <w:semiHidden/>
    <w:qFormat/>
    <w:uiPriority w:val="0"/>
    <w:rPr>
      <w:rFonts w:ascii="Times New Roman" w:hAnsi="Times New Roman" w:eastAsia="宋体" w:cs="Times New Roman"/>
      <w:kern w:val="2"/>
      <w:sz w:val="24"/>
      <w:szCs w:val="24"/>
    </w:rPr>
  </w:style>
  <w:style w:type="character" w:customStyle="1" w:styleId="201">
    <w:name w:val="日期 字符"/>
    <w:basedOn w:val="119"/>
    <w:link w:val="41"/>
    <w:qFormat/>
    <w:uiPriority w:val="0"/>
    <w:rPr>
      <w:rFonts w:ascii="Times New Roman" w:hAnsi="Times New Roman" w:eastAsia="宋体" w:cs="Times New Roman"/>
      <w:kern w:val="2"/>
      <w:sz w:val="24"/>
      <w:szCs w:val="24"/>
    </w:rPr>
  </w:style>
  <w:style w:type="character" w:customStyle="1" w:styleId="202">
    <w:name w:val="信息标题 Char"/>
    <w:basedOn w:val="119"/>
    <w:qFormat/>
    <w:uiPriority w:val="0"/>
    <w:rPr>
      <w:rFonts w:asciiTheme="majorHAnsi" w:hAnsiTheme="majorHAnsi" w:eastAsiaTheme="majorEastAsia" w:cstheme="majorBidi"/>
      <w:kern w:val="2"/>
      <w:sz w:val="24"/>
      <w:szCs w:val="24"/>
      <w:shd w:val="pct20" w:color="auto" w:fill="auto"/>
    </w:rPr>
  </w:style>
  <w:style w:type="character" w:customStyle="1" w:styleId="203">
    <w:name w:val="正文首行缩进 2 字符"/>
    <w:basedOn w:val="163"/>
    <w:link w:val="73"/>
    <w:semiHidden/>
    <w:qFormat/>
    <w:uiPriority w:val="0"/>
    <w:rPr>
      <w:rFonts w:ascii="Times New Roman" w:hAnsi="Times New Roman" w:eastAsia="宋体" w:cs="Times New Roman"/>
      <w:kern w:val="2"/>
      <w:sz w:val="24"/>
      <w:szCs w:val="24"/>
    </w:rPr>
  </w:style>
  <w:style w:type="character" w:customStyle="1" w:styleId="204">
    <w:name w:val="正文文本 2 字符"/>
    <w:basedOn w:val="119"/>
    <w:link w:val="62"/>
    <w:semiHidden/>
    <w:qFormat/>
    <w:uiPriority w:val="0"/>
    <w:rPr>
      <w:rFonts w:ascii="Times New Roman" w:hAnsi="Times New Roman" w:eastAsia="宋体" w:cs="Times New Roman"/>
      <w:kern w:val="2"/>
      <w:sz w:val="24"/>
      <w:szCs w:val="24"/>
    </w:rPr>
  </w:style>
  <w:style w:type="character" w:customStyle="1" w:styleId="205">
    <w:name w:val="正文文本 3 字符"/>
    <w:basedOn w:val="119"/>
    <w:link w:val="24"/>
    <w:qFormat/>
    <w:uiPriority w:val="0"/>
    <w:rPr>
      <w:rFonts w:ascii="Times New Roman" w:hAnsi="Times New Roman" w:eastAsia="宋体" w:cs="Times New Roman"/>
      <w:kern w:val="2"/>
      <w:sz w:val="16"/>
      <w:szCs w:val="16"/>
    </w:rPr>
  </w:style>
  <w:style w:type="character" w:customStyle="1" w:styleId="206">
    <w:name w:val="ww正文 Char"/>
    <w:link w:val="179"/>
    <w:qFormat/>
    <w:uiPriority w:val="0"/>
    <w:rPr>
      <w:rFonts w:ascii="Calibri" w:hAnsi="Calibri" w:eastAsia="宋体" w:cs="Times New Roman"/>
      <w:kern w:val="2"/>
      <w:sz w:val="21"/>
      <w:szCs w:val="28"/>
    </w:rPr>
  </w:style>
  <w:style w:type="character" w:customStyle="1" w:styleId="207">
    <w:name w:val="w总标题 Char"/>
    <w:link w:val="187"/>
    <w:qFormat/>
    <w:uiPriority w:val="0"/>
    <w:rPr>
      <w:rFonts w:ascii="宋体" w:hAnsi="宋体" w:eastAsia="宋体" w:cs="Times New Roman"/>
      <w:b/>
      <w:bCs/>
      <w:kern w:val="2"/>
      <w:sz w:val="52"/>
      <w:szCs w:val="52"/>
    </w:rPr>
  </w:style>
  <w:style w:type="paragraph" w:customStyle="1" w:styleId="2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Times New Roman"/>
      <w:kern w:val="0"/>
      <w:sz w:val="24"/>
      <w:szCs w:val="24"/>
    </w:rPr>
  </w:style>
  <w:style w:type="character" w:customStyle="1" w:styleId="209">
    <w:name w:val="总标题 Char"/>
    <w:link w:val="181"/>
    <w:semiHidden/>
    <w:qFormat/>
    <w:uiPriority w:val="0"/>
    <w:rPr>
      <w:rFonts w:ascii="Calibri" w:hAnsi="Calibri" w:eastAsia="宋体" w:cs="Times New Roman"/>
      <w:b/>
      <w:kern w:val="2"/>
      <w:sz w:val="44"/>
      <w:szCs w:val="24"/>
    </w:rPr>
  </w:style>
  <w:style w:type="character" w:customStyle="1" w:styleId="210">
    <w:name w:val="1号标题 Char"/>
    <w:link w:val="182"/>
    <w:qFormat/>
    <w:uiPriority w:val="0"/>
    <w:rPr>
      <w:rFonts w:ascii="宋体" w:hAnsi="宋体" w:eastAsia="宋体" w:cs="Times New Roman"/>
      <w:b/>
      <w:kern w:val="2"/>
      <w:sz w:val="21"/>
      <w:szCs w:val="21"/>
    </w:rPr>
  </w:style>
  <w:style w:type="paragraph" w:customStyle="1" w:styleId="211">
    <w:name w:val="xl23"/>
    <w:basedOn w:val="1"/>
    <w:qFormat/>
    <w:uiPriority w:val="0"/>
    <w:pPr>
      <w:widowControl/>
      <w:spacing w:before="100" w:beforeAutospacing="1" w:after="100" w:afterAutospacing="1" w:line="360" w:lineRule="auto"/>
      <w:textAlignment w:val="top"/>
    </w:pPr>
    <w:rPr>
      <w:rFonts w:ascii="Times New Roman" w:hAnsi="Times New Roman" w:cs="Times New Roman"/>
      <w:kern w:val="0"/>
      <w:sz w:val="24"/>
      <w:szCs w:val="24"/>
    </w:rPr>
  </w:style>
  <w:style w:type="paragraph" w:customStyle="1" w:styleId="212">
    <w:name w:val="图中文字"/>
    <w:basedOn w:val="1"/>
    <w:qFormat/>
    <w:uiPriority w:val="0"/>
    <w:pPr>
      <w:adjustRightInd w:val="0"/>
      <w:snapToGrid w:val="0"/>
      <w:spacing w:line="0" w:lineRule="atLeast"/>
      <w:jc w:val="center"/>
    </w:pPr>
    <w:rPr>
      <w:rFonts w:ascii="Times New Roman" w:hAnsi="Times New Roman" w:cs="Times New Roman"/>
      <w:sz w:val="24"/>
      <w:szCs w:val="20"/>
    </w:rPr>
  </w:style>
  <w:style w:type="paragraph" w:customStyle="1" w:styleId="213">
    <w:name w:val="正文缩进1"/>
    <w:basedOn w:val="1"/>
    <w:qFormat/>
    <w:uiPriority w:val="0"/>
    <w:pPr>
      <w:spacing w:before="40" w:after="40" w:line="400" w:lineRule="exact"/>
      <w:ind w:firstLine="510"/>
    </w:pPr>
    <w:rPr>
      <w:rFonts w:ascii="Times New Roman" w:hAnsi="Times New Roman" w:cs="Times New Roman"/>
      <w:sz w:val="28"/>
      <w:szCs w:val="20"/>
    </w:rPr>
  </w:style>
  <w:style w:type="paragraph" w:customStyle="1" w:styleId="214">
    <w:name w:val="xl32"/>
    <w:basedOn w:val="1"/>
    <w:qFormat/>
    <w:uiPriority w:val="0"/>
    <w:pPr>
      <w:widowControl/>
      <w:spacing w:before="100" w:beforeAutospacing="1" w:after="100" w:afterAutospacing="1"/>
      <w:jc w:val="center"/>
    </w:pPr>
    <w:rPr>
      <w:rFonts w:ascii="宋体" w:hAnsi="宋体" w:cs="Times New Roman"/>
      <w:kern w:val="0"/>
      <w:sz w:val="24"/>
      <w:szCs w:val="24"/>
    </w:rPr>
  </w:style>
  <w:style w:type="paragraph" w:customStyle="1" w:styleId="215">
    <w:name w:val="Char"/>
    <w:basedOn w:val="1"/>
    <w:qFormat/>
    <w:uiPriority w:val="0"/>
    <w:rPr>
      <w:rFonts w:ascii="Times New Roman" w:hAnsi="Times New Roman" w:cs="Times New Roman"/>
      <w:szCs w:val="24"/>
    </w:rPr>
  </w:style>
  <w:style w:type="paragraph" w:customStyle="1" w:styleId="216">
    <w:name w:val="Char Char1 Char Char Char Char Char Char Char Char"/>
    <w:basedOn w:val="1"/>
    <w:qFormat/>
    <w:uiPriority w:val="0"/>
    <w:pPr>
      <w:ind w:firstLine="200" w:firstLineChars="200"/>
    </w:pPr>
    <w:rPr>
      <w:rFonts w:ascii="Tahoma" w:hAnsi="Tahoma" w:cs="Times New Roman"/>
      <w:sz w:val="24"/>
      <w:szCs w:val="20"/>
    </w:rPr>
  </w:style>
  <w:style w:type="paragraph" w:customStyle="1" w:styleId="217">
    <w:name w:val="Plain Text1"/>
    <w:basedOn w:val="1"/>
    <w:qFormat/>
    <w:uiPriority w:val="0"/>
    <w:pPr>
      <w:adjustRightInd w:val="0"/>
      <w:spacing w:line="312" w:lineRule="atLeast"/>
      <w:textAlignment w:val="baseline"/>
    </w:pPr>
    <w:rPr>
      <w:rFonts w:ascii="宋体" w:hAnsi="Courier New" w:cs="Times New Roman"/>
      <w:kern w:val="0"/>
      <w:szCs w:val="20"/>
    </w:rPr>
  </w:style>
  <w:style w:type="paragraph" w:customStyle="1" w:styleId="218">
    <w:name w:val="Char Char2 Char Char Char Char Char Char Char Char Char Char Char Char Char Char Char Char Char Char Char Char Char Char Char Char"/>
    <w:basedOn w:val="1"/>
    <w:qFormat/>
    <w:uiPriority w:val="0"/>
    <w:rPr>
      <w:rFonts w:ascii="Times New Roman" w:hAnsi="Times New Roman" w:cs="Times New Roman"/>
      <w:szCs w:val="24"/>
    </w:rPr>
  </w:style>
  <w:style w:type="paragraph" w:customStyle="1" w:styleId="219">
    <w:name w:val="Char Char Char Char Char"/>
    <w:basedOn w:val="1"/>
    <w:qFormat/>
    <w:uiPriority w:val="0"/>
    <w:pPr>
      <w:adjustRightInd w:val="0"/>
      <w:snapToGrid w:val="0"/>
      <w:spacing w:line="360" w:lineRule="auto"/>
      <w:ind w:left="84" w:leftChars="40" w:firstLine="480" w:firstLineChars="200"/>
      <w:jc w:val="left"/>
    </w:pPr>
    <w:rPr>
      <w:rFonts w:ascii="宋体" w:hAnsi="宋体" w:cs="宋体"/>
      <w:color w:val="FF0000"/>
      <w:kern w:val="0"/>
      <w:sz w:val="24"/>
      <w:szCs w:val="24"/>
    </w:rPr>
  </w:style>
  <w:style w:type="paragraph" w:customStyle="1" w:styleId="220">
    <w:name w:val="Char Char1 Char Char Char Char Char Char Char Char1"/>
    <w:basedOn w:val="1"/>
    <w:qFormat/>
    <w:uiPriority w:val="0"/>
    <w:pPr>
      <w:ind w:firstLine="200" w:firstLineChars="200"/>
    </w:pPr>
    <w:rPr>
      <w:rFonts w:ascii="Tahoma" w:hAnsi="Tahoma" w:cs="Times New Roman"/>
      <w:sz w:val="24"/>
      <w:szCs w:val="20"/>
    </w:rPr>
  </w:style>
  <w:style w:type="paragraph" w:customStyle="1" w:styleId="221">
    <w:name w:val="Letter2"/>
    <w:qFormat/>
    <w:uiPriority w:val="0"/>
    <w:pPr>
      <w:numPr>
        <w:ilvl w:val="0"/>
        <w:numId w:val="4"/>
      </w:numPr>
      <w:tabs>
        <w:tab w:val="clear" w:pos="360"/>
      </w:tabs>
      <w:spacing w:after="120"/>
      <w:ind w:left="2520" w:firstLine="0" w:firstLineChars="0"/>
      <w:jc w:val="both"/>
    </w:pPr>
    <w:rPr>
      <w:rFonts w:ascii="Times New Roman" w:hAnsi="Times New Roman" w:eastAsia="宋体" w:cs="Times New Roman"/>
      <w:sz w:val="22"/>
      <w:lang w:val="en-GB" w:eastAsia="en-US" w:bidi="ar-SA"/>
    </w:rPr>
  </w:style>
  <w:style w:type="paragraph" w:customStyle="1" w:styleId="222">
    <w:name w:val="Letter 3"/>
    <w:qFormat/>
    <w:uiPriority w:val="0"/>
    <w:pPr>
      <w:numPr>
        <w:ilvl w:val="0"/>
        <w:numId w:val="5"/>
      </w:numPr>
      <w:tabs>
        <w:tab w:val="left" w:pos="0"/>
        <w:tab w:val="clear" w:pos="1440"/>
      </w:tabs>
      <w:spacing w:after="120"/>
      <w:jc w:val="both"/>
    </w:pPr>
    <w:rPr>
      <w:rFonts w:ascii="Times New Roman" w:hAnsi="Times New Roman" w:eastAsia="宋体" w:cs="Times New Roman"/>
      <w:sz w:val="22"/>
      <w:lang w:val="en-GB" w:eastAsia="en-US" w:bidi="ar-SA"/>
    </w:rPr>
  </w:style>
  <w:style w:type="paragraph" w:customStyle="1" w:styleId="223">
    <w:name w:val="dash 2"/>
    <w:basedOn w:val="1"/>
    <w:qFormat/>
    <w:uiPriority w:val="0"/>
    <w:pPr>
      <w:widowControl/>
      <w:numPr>
        <w:ilvl w:val="0"/>
        <w:numId w:val="6"/>
      </w:numPr>
      <w:tabs>
        <w:tab w:val="left" w:pos="1440"/>
        <w:tab w:val="clear" w:pos="0"/>
      </w:tabs>
      <w:spacing w:after="120"/>
      <w:ind w:left="2880"/>
    </w:pPr>
    <w:rPr>
      <w:rFonts w:ascii="Times New Roman" w:hAnsi="Times New Roman" w:cs="Times New Roman"/>
      <w:kern w:val="0"/>
      <w:sz w:val="22"/>
      <w:szCs w:val="20"/>
      <w:lang w:eastAsia="en-US"/>
    </w:rPr>
  </w:style>
  <w:style w:type="paragraph" w:customStyle="1" w:styleId="224">
    <w:name w:val="EM List 2"/>
    <w:basedOn w:val="1"/>
    <w:qFormat/>
    <w:uiPriority w:val="0"/>
    <w:pPr>
      <w:widowControl/>
      <w:numPr>
        <w:ilvl w:val="0"/>
        <w:numId w:val="7"/>
      </w:numPr>
      <w:tabs>
        <w:tab w:val="left" w:pos="0"/>
        <w:tab w:val="clear" w:pos="-720"/>
      </w:tabs>
      <w:spacing w:after="120"/>
    </w:pPr>
    <w:rPr>
      <w:rFonts w:ascii="Times New Roman" w:hAnsi="Times New Roman" w:cs="Times New Roman"/>
      <w:b/>
      <w:kern w:val="0"/>
      <w:sz w:val="22"/>
      <w:szCs w:val="20"/>
      <w:lang w:eastAsia="en-US"/>
    </w:rPr>
  </w:style>
  <w:style w:type="paragraph" w:customStyle="1" w:styleId="225">
    <w:name w:val="Numbered List"/>
    <w:basedOn w:val="1"/>
    <w:qFormat/>
    <w:uiPriority w:val="0"/>
    <w:pPr>
      <w:widowControl/>
      <w:numPr>
        <w:ilvl w:val="4"/>
        <w:numId w:val="8"/>
      </w:numPr>
      <w:tabs>
        <w:tab w:val="left" w:pos="-720"/>
        <w:tab w:val="clear" w:pos="1440"/>
      </w:tabs>
      <w:spacing w:after="120"/>
      <w:ind w:left="720" w:hanging="720"/>
    </w:pPr>
    <w:rPr>
      <w:rFonts w:ascii="Times New Roman" w:hAnsi="Times New Roman" w:cs="Times New Roman"/>
      <w:kern w:val="0"/>
      <w:sz w:val="22"/>
      <w:szCs w:val="20"/>
      <w:lang w:eastAsia="en-US"/>
    </w:rPr>
  </w:style>
  <w:style w:type="paragraph" w:customStyle="1" w:styleId="226">
    <w:name w:val="列表项目符号 51"/>
    <w:basedOn w:val="15"/>
    <w:qFormat/>
    <w:uiPriority w:val="0"/>
    <w:pPr>
      <w:widowControl/>
      <w:tabs>
        <w:tab w:val="left" w:pos="0"/>
        <w:tab w:val="clear" w:pos="1620"/>
      </w:tabs>
      <w:ind w:left="2520" w:leftChars="0" w:firstLine="0" w:firstLineChars="0"/>
    </w:pPr>
    <w:rPr>
      <w:kern w:val="0"/>
      <w:sz w:val="22"/>
      <w:szCs w:val="20"/>
      <w:lang w:eastAsia="en-US"/>
    </w:rPr>
  </w:style>
  <w:style w:type="paragraph" w:customStyle="1" w:styleId="227">
    <w:name w:val="Tab 1"/>
    <w:basedOn w:val="1"/>
    <w:qFormat/>
    <w:uiPriority w:val="0"/>
    <w:pPr>
      <w:keepNext/>
      <w:keepLines/>
      <w:widowControl/>
      <w:tabs>
        <w:tab w:val="left" w:pos="1080"/>
      </w:tabs>
      <w:spacing w:after="120"/>
      <w:ind w:left="1080" w:hanging="360"/>
    </w:pPr>
    <w:rPr>
      <w:rFonts w:ascii="Times New Roman" w:hAnsi="Times New Roman" w:cs="Times New Roman"/>
      <w:b/>
      <w:kern w:val="0"/>
      <w:sz w:val="22"/>
      <w:szCs w:val="24"/>
      <w:lang w:eastAsia="en-US"/>
    </w:rPr>
  </w:style>
  <w:style w:type="paragraph" w:customStyle="1" w:styleId="228">
    <w:name w:val="Letter List"/>
    <w:basedOn w:val="1"/>
    <w:qFormat/>
    <w:uiPriority w:val="0"/>
    <w:pPr>
      <w:widowControl/>
      <w:tabs>
        <w:tab w:val="left" w:pos="0"/>
      </w:tabs>
      <w:ind w:left="1080" w:hanging="360"/>
    </w:pPr>
    <w:rPr>
      <w:rFonts w:ascii="Times New Roman" w:hAnsi="Times New Roman" w:cs="Times New Roman"/>
      <w:kern w:val="0"/>
      <w:sz w:val="22"/>
      <w:szCs w:val="20"/>
      <w:lang w:eastAsia="en-US"/>
    </w:rPr>
  </w:style>
  <w:style w:type="paragraph" w:customStyle="1" w:styleId="229">
    <w:name w:val="Letter"/>
    <w:basedOn w:val="228"/>
    <w:qFormat/>
    <w:uiPriority w:val="0"/>
    <w:pPr>
      <w:spacing w:after="120"/>
      <w:ind w:left="1800"/>
    </w:pPr>
  </w:style>
  <w:style w:type="paragraph" w:customStyle="1" w:styleId="230">
    <w:name w:val="Char Char2 Char Char Char Char Char Char Char Char Char Char Char Char Char Char Char Char Char Char Char Char Char Char Char Char Char Char Char Char Char Char Char Char"/>
    <w:basedOn w:val="1"/>
    <w:qFormat/>
    <w:uiPriority w:val="0"/>
    <w:rPr>
      <w:rFonts w:ascii="Times New Roman" w:hAnsi="Times New Roman" w:cs="Times New Roman"/>
      <w:szCs w:val="24"/>
    </w:rPr>
  </w:style>
  <w:style w:type="paragraph" w:customStyle="1" w:styleId="231">
    <w:name w:val="纯文本1"/>
    <w:basedOn w:val="1"/>
    <w:qFormat/>
    <w:uiPriority w:val="0"/>
    <w:pPr>
      <w:adjustRightInd w:val="0"/>
      <w:spacing w:line="312" w:lineRule="atLeast"/>
      <w:textAlignment w:val="baseline"/>
    </w:pPr>
    <w:rPr>
      <w:rFonts w:ascii="宋体" w:hAnsi="Courier New" w:cs="Times New Roman"/>
      <w:kern w:val="0"/>
      <w:szCs w:val="20"/>
    </w:rPr>
  </w:style>
  <w:style w:type="paragraph" w:customStyle="1" w:styleId="232">
    <w:name w:val="默认段落字体 Para Char"/>
    <w:basedOn w:val="1"/>
    <w:qFormat/>
    <w:uiPriority w:val="0"/>
    <w:pPr>
      <w:spacing w:line="360" w:lineRule="auto"/>
      <w:ind w:firstLine="200" w:firstLineChars="200"/>
    </w:pPr>
    <w:rPr>
      <w:rFonts w:ascii="宋体" w:hAnsi="宋体" w:cs="宋体"/>
      <w:sz w:val="24"/>
      <w:szCs w:val="24"/>
    </w:rPr>
  </w:style>
  <w:style w:type="paragraph" w:customStyle="1" w:styleId="233">
    <w:name w:val="宁扬"/>
    <w:basedOn w:val="1"/>
    <w:qFormat/>
    <w:uiPriority w:val="0"/>
    <w:pPr>
      <w:spacing w:line="500" w:lineRule="exact"/>
      <w:ind w:firstLine="200" w:firstLineChars="200"/>
    </w:pPr>
    <w:rPr>
      <w:rFonts w:ascii="仿宋_GB2312" w:hAnsi="Times New Roman" w:eastAsia="仿宋_GB2312" w:cs="Times New Roman"/>
      <w:sz w:val="28"/>
      <w:szCs w:val="24"/>
    </w:rPr>
  </w:style>
  <w:style w:type="paragraph" w:customStyle="1" w:styleId="234">
    <w:name w:val="正式文本"/>
    <w:basedOn w:val="1"/>
    <w:qFormat/>
    <w:uiPriority w:val="0"/>
    <w:pPr>
      <w:spacing w:line="540" w:lineRule="exact"/>
      <w:ind w:firstLine="200" w:firstLineChars="200"/>
    </w:pPr>
    <w:rPr>
      <w:rFonts w:ascii="宋体" w:hAnsi="Arial Narrow" w:cs="Times New Roman"/>
      <w:sz w:val="28"/>
      <w:szCs w:val="24"/>
    </w:rPr>
  </w:style>
  <w:style w:type="paragraph" w:customStyle="1" w:styleId="235">
    <w:name w:val="Char9"/>
    <w:basedOn w:val="1"/>
    <w:qFormat/>
    <w:uiPriority w:val="0"/>
    <w:rPr>
      <w:rFonts w:ascii="Times New Roman" w:hAnsi="Times New Roman" w:cs="Times New Roman"/>
      <w:szCs w:val="24"/>
    </w:rPr>
  </w:style>
  <w:style w:type="paragraph" w:customStyle="1" w:styleId="236">
    <w:name w:val="Char1"/>
    <w:basedOn w:val="1"/>
    <w:qFormat/>
    <w:uiPriority w:val="0"/>
    <w:rPr>
      <w:rFonts w:ascii="Times New Roman" w:hAnsi="Times New Roman" w:cs="Times New Roman"/>
      <w:szCs w:val="24"/>
    </w:rPr>
  </w:style>
  <w:style w:type="paragraph" w:customStyle="1" w:styleId="237">
    <w:name w:val="Char2"/>
    <w:basedOn w:val="1"/>
    <w:qFormat/>
    <w:uiPriority w:val="0"/>
    <w:rPr>
      <w:rFonts w:ascii="Times New Roman" w:hAnsi="Times New Roman" w:cs="Times New Roman"/>
      <w:szCs w:val="24"/>
    </w:rPr>
  </w:style>
  <w:style w:type="paragraph" w:customStyle="1" w:styleId="238">
    <w:name w:val="Char Char Char Char Char Char"/>
    <w:basedOn w:val="1"/>
    <w:qFormat/>
    <w:uiPriority w:val="0"/>
    <w:pPr>
      <w:widowControl/>
      <w:spacing w:beforeLines="50" w:afterLines="50" w:line="360" w:lineRule="auto"/>
      <w:jc w:val="center"/>
    </w:pPr>
    <w:rPr>
      <w:rFonts w:ascii="黑体" w:hAnsi="Verdana" w:cs="Times New Roman"/>
      <w:kern w:val="0"/>
      <w:sz w:val="32"/>
      <w:szCs w:val="20"/>
    </w:rPr>
  </w:style>
  <w:style w:type="paragraph" w:customStyle="1" w:styleId="239">
    <w:name w:val="Char Char Char Char Char Char1"/>
    <w:basedOn w:val="1"/>
    <w:qFormat/>
    <w:uiPriority w:val="0"/>
    <w:pPr>
      <w:widowControl/>
    </w:pPr>
    <w:rPr>
      <w:rFonts w:ascii="Times New Roman" w:hAnsi="Times New Roman" w:cs="Times New Roman"/>
      <w:szCs w:val="20"/>
    </w:rPr>
  </w:style>
  <w:style w:type="paragraph" w:customStyle="1" w:styleId="240">
    <w:name w:val="Char Char Char Char"/>
    <w:basedOn w:val="1"/>
    <w:link w:val="260"/>
    <w:qFormat/>
    <w:uiPriority w:val="0"/>
    <w:pPr>
      <w:widowControl/>
      <w:spacing w:after="160" w:line="240" w:lineRule="exact"/>
      <w:jc w:val="left"/>
    </w:pPr>
    <w:rPr>
      <w:rFonts w:ascii="Verdana" w:hAnsi="Verdana" w:cs="Times New Roman"/>
      <w:kern w:val="0"/>
      <w:szCs w:val="20"/>
    </w:rPr>
  </w:style>
  <w:style w:type="paragraph" w:customStyle="1" w:styleId="241">
    <w:name w:val="Default"/>
    <w:qFormat/>
    <w:uiPriority w:val="0"/>
    <w:pPr>
      <w:widowControl w:val="0"/>
    </w:pPr>
    <w:rPr>
      <w:rFonts w:ascii="Times New Roman" w:hAnsi="Times New Roman" w:eastAsia="Times New Roman" w:cs="Times New Roman"/>
      <w:color w:val="000000"/>
      <w:sz w:val="24"/>
      <w:lang w:val="en-US" w:eastAsia="en-US" w:bidi="ar-SA"/>
    </w:rPr>
  </w:style>
  <w:style w:type="character" w:customStyle="1" w:styleId="242">
    <w:name w:val="H2 Char"/>
    <w:qFormat/>
    <w:uiPriority w:val="0"/>
    <w:rPr>
      <w:rFonts w:ascii="Cambria" w:hAnsi="Cambria" w:eastAsia="宋体"/>
      <w:b/>
      <w:bCs/>
      <w:kern w:val="2"/>
      <w:sz w:val="32"/>
      <w:szCs w:val="32"/>
      <w:lang w:val="en-US" w:eastAsia="zh-CN" w:bidi="ar-SA"/>
    </w:rPr>
  </w:style>
  <w:style w:type="character" w:customStyle="1" w:styleId="243">
    <w:name w:val="H3 Char"/>
    <w:qFormat/>
    <w:uiPriority w:val="0"/>
    <w:rPr>
      <w:rFonts w:ascii="Calibri" w:hAnsi="Calibri" w:eastAsia="宋体"/>
      <w:b/>
      <w:bCs/>
      <w:kern w:val="2"/>
      <w:sz w:val="32"/>
      <w:szCs w:val="32"/>
      <w:lang w:val="en-US" w:eastAsia="zh-CN" w:bidi="ar-SA"/>
    </w:rPr>
  </w:style>
  <w:style w:type="paragraph" w:customStyle="1" w:styleId="244">
    <w:name w:val="默认段落字体 Para Char Char Char Char"/>
    <w:basedOn w:val="1"/>
    <w:qFormat/>
    <w:uiPriority w:val="0"/>
    <w:rPr>
      <w:rFonts w:ascii="Times New Roman" w:hAnsi="Times New Roman" w:cs="Times New Roman"/>
      <w:szCs w:val="24"/>
    </w:rPr>
  </w:style>
  <w:style w:type="paragraph" w:customStyle="1" w:styleId="245">
    <w:name w:val="样式3"/>
    <w:basedOn w:val="1"/>
    <w:qFormat/>
    <w:uiPriority w:val="0"/>
    <w:pPr>
      <w:spacing w:line="400" w:lineRule="exact"/>
      <w:ind w:firstLine="285"/>
    </w:pPr>
    <w:rPr>
      <w:rFonts w:ascii="宋体" w:hAnsi="宋体" w:cs="Times New Roman"/>
      <w:szCs w:val="21"/>
    </w:rPr>
  </w:style>
  <w:style w:type="paragraph" w:customStyle="1" w:styleId="24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47">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bCs w:val="0"/>
      <w:sz w:val="24"/>
      <w:szCs w:val="20"/>
    </w:rPr>
  </w:style>
  <w:style w:type="paragraph" w:customStyle="1" w:styleId="24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character" w:customStyle="1" w:styleId="249">
    <w:name w:val="批注文字 Char"/>
    <w:basedOn w:val="119"/>
    <w:qFormat/>
    <w:uiPriority w:val="0"/>
    <w:rPr>
      <w:rFonts w:ascii="AMGDT" w:hAnsi="AMGDT" w:eastAsia="宋体" w:cs="Wingdings"/>
      <w:kern w:val="2"/>
      <w:sz w:val="21"/>
      <w:szCs w:val="22"/>
    </w:rPr>
  </w:style>
  <w:style w:type="paragraph" w:customStyle="1" w:styleId="250">
    <w:name w:val="1"/>
    <w:basedOn w:val="1"/>
    <w:qFormat/>
    <w:uiPriority w:val="0"/>
    <w:rPr>
      <w:rFonts w:ascii="Times New Roman" w:hAnsi="Times New Roman" w:cs="Times New Roman"/>
      <w:szCs w:val="24"/>
    </w:rPr>
  </w:style>
  <w:style w:type="character" w:customStyle="1" w:styleId="251">
    <w:name w:val="font161"/>
    <w:qFormat/>
    <w:uiPriority w:val="0"/>
    <w:rPr>
      <w:b/>
      <w:bCs/>
      <w:sz w:val="32"/>
      <w:szCs w:val="32"/>
    </w:rPr>
  </w:style>
  <w:style w:type="paragraph" w:customStyle="1" w:styleId="252">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253">
    <w:name w:val="表格"/>
    <w:basedOn w:val="1"/>
    <w:qFormat/>
    <w:uiPriority w:val="0"/>
    <w:pPr>
      <w:jc w:val="center"/>
      <w:textAlignment w:val="center"/>
    </w:pPr>
    <w:rPr>
      <w:rFonts w:ascii="华文细黑" w:hAnsi="华文细黑" w:cs="Times New Roman"/>
      <w:kern w:val="0"/>
      <w:szCs w:val="20"/>
    </w:rPr>
  </w:style>
  <w:style w:type="paragraph" w:customStyle="1" w:styleId="254">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255">
    <w:name w:val="正文文本 21"/>
    <w:basedOn w:val="1"/>
    <w:qFormat/>
    <w:uiPriority w:val="0"/>
    <w:pPr>
      <w:adjustRightInd w:val="0"/>
      <w:ind w:firstLine="570"/>
      <w:textAlignment w:val="baseline"/>
    </w:pPr>
    <w:rPr>
      <w:rFonts w:ascii="Times New Roman" w:hAnsi="Times New Roman" w:cs="Times New Roman"/>
      <w:sz w:val="28"/>
      <w:szCs w:val="20"/>
    </w:rPr>
  </w:style>
  <w:style w:type="paragraph" w:customStyle="1" w:styleId="256">
    <w:name w:val="标题2"/>
    <w:basedOn w:val="3"/>
    <w:next w:val="1"/>
    <w:qFormat/>
    <w:uiPriority w:val="0"/>
    <w:pPr>
      <w:tabs>
        <w:tab w:val="left" w:pos="0"/>
      </w:tabs>
      <w:spacing w:before="0" w:after="0" w:line="240" w:lineRule="auto"/>
    </w:pPr>
    <w:rPr>
      <w:rFonts w:ascii="Arial" w:hAnsi="Arial" w:eastAsia="宋体" w:cs="Arial"/>
      <w:bCs w:val="0"/>
      <w:sz w:val="28"/>
    </w:rPr>
  </w:style>
  <w:style w:type="paragraph" w:customStyle="1" w:styleId="257">
    <w:name w:val="western"/>
    <w:basedOn w:val="1"/>
    <w:qFormat/>
    <w:uiPriority w:val="0"/>
    <w:pPr>
      <w:widowControl/>
      <w:spacing w:before="100" w:beforeAutospacing="1" w:after="115"/>
    </w:pPr>
    <w:rPr>
      <w:rFonts w:ascii="Calibri" w:hAnsi="Calibri" w:cs="宋体"/>
      <w:color w:val="000000"/>
      <w:kern w:val="0"/>
      <w:sz w:val="20"/>
      <w:szCs w:val="20"/>
    </w:rPr>
  </w:style>
  <w:style w:type="character" w:customStyle="1" w:styleId="258">
    <w:name w:val="脚注文本 Char"/>
    <w:qFormat/>
    <w:uiPriority w:val="0"/>
    <w:rPr>
      <w:kern w:val="2"/>
      <w:sz w:val="18"/>
      <w:szCs w:val="18"/>
    </w:rPr>
  </w:style>
  <w:style w:type="character" w:customStyle="1" w:styleId="259">
    <w:name w:val="信息标题 字符"/>
    <w:link w:val="65"/>
    <w:qFormat/>
    <w:uiPriority w:val="0"/>
    <w:rPr>
      <w:rFonts w:ascii="Arial" w:hAnsi="Arial" w:eastAsia="宋体" w:cs="Times New Roman"/>
      <w:kern w:val="2"/>
      <w:sz w:val="24"/>
      <w:szCs w:val="24"/>
      <w:shd w:val="pct20" w:color="auto" w:fill="auto"/>
    </w:rPr>
  </w:style>
  <w:style w:type="character" w:customStyle="1" w:styleId="260">
    <w:name w:val="Char Char Char Char Char11"/>
    <w:link w:val="240"/>
    <w:qFormat/>
    <w:uiPriority w:val="0"/>
    <w:rPr>
      <w:rFonts w:ascii="Verdana" w:hAnsi="Verdana" w:eastAsia="宋体" w:cs="Times New Roman"/>
      <w:sz w:val="21"/>
    </w:rPr>
  </w:style>
  <w:style w:type="character" w:customStyle="1" w:styleId="261">
    <w:name w:val="Message Header Label"/>
    <w:qFormat/>
    <w:uiPriority w:val="0"/>
    <w:rPr>
      <w:rFonts w:hint="default" w:ascii="Arial Black" w:hAnsi="Arial Black"/>
      <w:sz w:val="18"/>
    </w:rPr>
  </w:style>
  <w:style w:type="character" w:customStyle="1" w:styleId="262">
    <w:name w:val="Char Char Char"/>
    <w:qFormat/>
    <w:uiPriority w:val="0"/>
    <w:rPr>
      <w:rFonts w:ascii="宋体" w:hAnsi="Courier New"/>
      <w:kern w:val="2"/>
      <w:sz w:val="21"/>
    </w:rPr>
  </w:style>
  <w:style w:type="character" w:customStyle="1" w:styleId="263">
    <w:name w:val="Char Char Char Char Char1"/>
    <w:link w:val="264"/>
    <w:qFormat/>
    <w:locked/>
    <w:uiPriority w:val="99"/>
    <w:rPr>
      <w:kern w:val="2"/>
      <w:sz w:val="21"/>
      <w:szCs w:val="24"/>
    </w:rPr>
  </w:style>
  <w:style w:type="paragraph" w:customStyle="1" w:styleId="264">
    <w:name w:val="Char Char Char Char1"/>
    <w:basedOn w:val="1"/>
    <w:link w:val="263"/>
    <w:qFormat/>
    <w:uiPriority w:val="99"/>
    <w:rPr>
      <w:rFonts w:asciiTheme="minorHAnsi" w:hAnsiTheme="minorHAnsi" w:eastAsiaTheme="minorEastAsia" w:cstheme="minorBidi"/>
      <w:szCs w:val="24"/>
    </w:rPr>
  </w:style>
  <w:style w:type="character" w:customStyle="1" w:styleId="265">
    <w:name w:val="apple-converted-space"/>
    <w:basedOn w:val="119"/>
    <w:qFormat/>
    <w:uiPriority w:val="0"/>
  </w:style>
  <w:style w:type="character" w:customStyle="1" w:styleId="266">
    <w:name w:val="尾注文本 Char"/>
    <w:qFormat/>
    <w:uiPriority w:val="0"/>
    <w:rPr>
      <w:kern w:val="2"/>
      <w:sz w:val="21"/>
      <w:szCs w:val="24"/>
    </w:rPr>
  </w:style>
  <w:style w:type="character" w:customStyle="1" w:styleId="267">
    <w:name w:val="批注主题 Char"/>
    <w:qFormat/>
    <w:uiPriority w:val="0"/>
    <w:rPr>
      <w:b/>
      <w:bCs/>
      <w:kern w:val="2"/>
      <w:sz w:val="21"/>
      <w:szCs w:val="24"/>
    </w:rPr>
  </w:style>
  <w:style w:type="character" w:customStyle="1" w:styleId="268">
    <w:name w:val="批注主题 字符"/>
    <w:basedOn w:val="249"/>
    <w:link w:val="71"/>
    <w:qFormat/>
    <w:uiPriority w:val="0"/>
    <w:rPr>
      <w:rFonts w:ascii="AMGDT" w:hAnsi="AMGDT" w:eastAsia="宋体" w:cs="Wingdings"/>
      <w:b/>
      <w:bCs/>
      <w:kern w:val="2"/>
      <w:sz w:val="21"/>
      <w:szCs w:val="22"/>
    </w:rPr>
  </w:style>
  <w:style w:type="character" w:customStyle="1" w:styleId="269">
    <w:name w:val="批注文字 字符"/>
    <w:link w:val="22"/>
    <w:qFormat/>
    <w:uiPriority w:val="0"/>
    <w:rPr>
      <w:rFonts w:ascii="Times New Roman" w:hAnsi="Times New Roman" w:eastAsia="宋体" w:cs="Times New Roman"/>
      <w:kern w:val="2"/>
      <w:sz w:val="21"/>
      <w:szCs w:val="24"/>
    </w:rPr>
  </w:style>
  <w:style w:type="paragraph" w:customStyle="1" w:styleId="270">
    <w:name w:val="Message Header First"/>
    <w:basedOn w:val="65"/>
    <w:next w:val="65"/>
    <w:qFormat/>
    <w:uiPriority w:val="0"/>
  </w:style>
  <w:style w:type="paragraph" w:customStyle="1" w:styleId="271">
    <w:name w:val="正文1"/>
    <w:basedOn w:val="1"/>
    <w:next w:val="1"/>
    <w:qFormat/>
    <w:uiPriority w:val="0"/>
    <w:pPr>
      <w:spacing w:after="120"/>
      <w:ind w:left="141" w:leftChars="67" w:firstLine="377" w:firstLineChars="150"/>
    </w:pPr>
    <w:rPr>
      <w:rFonts w:ascii="Times New Roman" w:hAnsi="Times New Roman" w:cs="宋体"/>
      <w:w w:val="90"/>
      <w:sz w:val="28"/>
      <w:szCs w:val="28"/>
    </w:rPr>
  </w:style>
  <w:style w:type="character" w:customStyle="1" w:styleId="272">
    <w:name w:val="尾注文本 字符"/>
    <w:basedOn w:val="119"/>
    <w:link w:val="43"/>
    <w:qFormat/>
    <w:uiPriority w:val="0"/>
    <w:rPr>
      <w:rFonts w:ascii="AMGDT" w:hAnsi="AMGDT" w:eastAsia="宋体" w:cs="Wingdings"/>
      <w:kern w:val="2"/>
      <w:sz w:val="21"/>
      <w:szCs w:val="22"/>
    </w:rPr>
  </w:style>
  <w:style w:type="character" w:customStyle="1" w:styleId="273">
    <w:name w:val="脚注文本 字符"/>
    <w:basedOn w:val="119"/>
    <w:link w:val="56"/>
    <w:qFormat/>
    <w:uiPriority w:val="0"/>
    <w:rPr>
      <w:rFonts w:ascii="AMGDT" w:hAnsi="AMGDT" w:eastAsia="宋体" w:cs="Wingdings"/>
      <w:kern w:val="2"/>
      <w:sz w:val="18"/>
      <w:szCs w:val="18"/>
    </w:rPr>
  </w:style>
  <w:style w:type="paragraph" w:customStyle="1" w:styleId="274">
    <w:name w:val="Char Char Char Char Char Char Char"/>
    <w:basedOn w:val="1"/>
    <w:qFormat/>
    <w:uiPriority w:val="99"/>
    <w:pPr>
      <w:ind w:firstLine="200" w:firstLineChars="200"/>
    </w:pPr>
    <w:rPr>
      <w:rFonts w:ascii="Tahoma" w:hAnsi="Tahoma" w:cs="Times New Roman"/>
      <w:sz w:val="24"/>
      <w:szCs w:val="20"/>
    </w:rPr>
  </w:style>
  <w:style w:type="paragraph" w:customStyle="1" w:styleId="275">
    <w:name w:val="TOC 标题1"/>
    <w:basedOn w:val="2"/>
    <w:next w:val="1"/>
    <w:qFormat/>
    <w:uiPriority w:val="39"/>
    <w:pPr>
      <w:outlineLvl w:val="9"/>
    </w:pPr>
    <w:rPr>
      <w:rFonts w:ascii="Times New Roman" w:hAnsi="Times New Roman" w:cs="Times New Roman"/>
    </w:rPr>
  </w:style>
  <w:style w:type="paragraph" w:customStyle="1" w:styleId="276">
    <w:name w:val="Char Char Char Char11"/>
    <w:basedOn w:val="1"/>
    <w:qFormat/>
    <w:uiPriority w:val="0"/>
    <w:rPr>
      <w:rFonts w:ascii="Times New Roman" w:hAnsi="Times New Roman" w:cs="Times New Roman"/>
      <w:szCs w:val="24"/>
    </w:rPr>
  </w:style>
  <w:style w:type="paragraph" w:customStyle="1" w:styleId="277">
    <w:name w:val="表中"/>
    <w:basedOn w:val="1"/>
    <w:qFormat/>
    <w:uiPriority w:val="0"/>
    <w:pPr>
      <w:spacing w:line="360" w:lineRule="auto"/>
      <w:ind w:firstLine="480" w:firstLineChars="200"/>
    </w:pPr>
    <w:rPr>
      <w:rFonts w:ascii="宋体" w:hAnsi="宋体" w:cs="Times New Roman"/>
      <w:snapToGrid w:val="0"/>
      <w:kern w:val="0"/>
      <w:sz w:val="24"/>
      <w:szCs w:val="24"/>
    </w:rPr>
  </w:style>
  <w:style w:type="paragraph" w:customStyle="1" w:styleId="27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279">
    <w:name w:val="Char Char1 Char"/>
    <w:basedOn w:val="21"/>
    <w:qFormat/>
    <w:uiPriority w:val="0"/>
    <w:pPr>
      <w:keepNext/>
      <w:shd w:val="clear" w:color="auto" w:fill="000080"/>
      <w:wordWrap w:val="0"/>
      <w:adjustRightInd w:val="0"/>
      <w:spacing w:line="436" w:lineRule="exact"/>
      <w:ind w:firstLine="200" w:firstLineChars="200"/>
      <w:jc w:val="left"/>
      <w:outlineLvl w:val="3"/>
    </w:pPr>
    <w:rPr>
      <w:rFonts w:ascii="Tahoma" w:hAnsi="Tahoma" w:cs="Times New Roman"/>
      <w:b/>
      <w:sz w:val="24"/>
      <w:szCs w:val="24"/>
    </w:rPr>
  </w:style>
  <w:style w:type="paragraph" w:customStyle="1" w:styleId="280">
    <w:name w:val="betreff"/>
    <w:basedOn w:val="1"/>
    <w:next w:val="1"/>
    <w:qFormat/>
    <w:uiPriority w:val="0"/>
    <w:pPr>
      <w:widowControl/>
      <w:spacing w:before="360" w:after="240" w:line="260" w:lineRule="atLeast"/>
      <w:jc w:val="left"/>
    </w:pPr>
    <w:rPr>
      <w:rFonts w:ascii="Arial" w:hAnsi="Arial" w:cs="Times New Roman"/>
      <w:b/>
      <w:kern w:val="0"/>
      <w:sz w:val="24"/>
      <w:szCs w:val="24"/>
      <w:lang w:val="en-AU"/>
    </w:rPr>
  </w:style>
  <w:style w:type="paragraph" w:customStyle="1" w:styleId="281">
    <w:name w:val="biao"/>
    <w:basedOn w:val="1"/>
    <w:qFormat/>
    <w:uiPriority w:val="0"/>
    <w:pPr>
      <w:tabs>
        <w:tab w:val="left" w:pos="2340"/>
      </w:tabs>
      <w:autoSpaceDE w:val="0"/>
      <w:autoSpaceDN w:val="0"/>
      <w:adjustRightInd w:val="0"/>
      <w:spacing w:line="240" w:lineRule="atLeast"/>
      <w:jc w:val="center"/>
    </w:pPr>
    <w:rPr>
      <w:rFonts w:ascii="黑体" w:hAnsi="Times New Roman" w:eastAsia="黑体" w:cs="Times New Roman"/>
      <w:kern w:val="0"/>
      <w:sz w:val="30"/>
      <w:szCs w:val="20"/>
    </w:rPr>
  </w:style>
  <w:style w:type="paragraph" w:customStyle="1" w:styleId="282">
    <w:name w:val="BPDI表格字体"/>
    <w:qFormat/>
    <w:uiPriority w:val="0"/>
    <w:pPr>
      <w:widowControl w:val="0"/>
      <w:adjustRightInd w:val="0"/>
      <w:snapToGrid w:val="0"/>
    </w:pPr>
    <w:rPr>
      <w:rFonts w:ascii="Arial" w:hAnsi="Arial" w:eastAsia="宋体" w:cs="Times New Roman"/>
      <w:kern w:val="2"/>
      <w:sz w:val="21"/>
      <w:szCs w:val="21"/>
      <w:lang w:val="en-US" w:eastAsia="zh-CN" w:bidi="ar-SA"/>
    </w:rPr>
  </w:style>
  <w:style w:type="paragraph" w:customStyle="1" w:styleId="283">
    <w:name w:val="listparagraph"/>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84">
    <w:name w:val="表头"/>
    <w:basedOn w:val="1"/>
    <w:qFormat/>
    <w:uiPriority w:val="0"/>
    <w:pPr>
      <w:tabs>
        <w:tab w:val="left" w:pos="-1440"/>
        <w:tab w:val="left" w:pos="-1080"/>
        <w:tab w:val="left" w:pos="-900"/>
        <w:tab w:val="left" w:pos="2580"/>
      </w:tabs>
      <w:jc w:val="center"/>
    </w:pPr>
    <w:rPr>
      <w:rFonts w:ascii="宋体" w:hAnsi="宋体" w:cs="宋体"/>
      <w:b/>
      <w:bCs/>
      <w:sz w:val="24"/>
      <w:szCs w:val="28"/>
    </w:rPr>
  </w:style>
  <w:style w:type="paragraph" w:customStyle="1" w:styleId="285">
    <w:name w:val="Char Char Char Char Char Char Char1"/>
    <w:basedOn w:val="1"/>
    <w:qFormat/>
    <w:uiPriority w:val="0"/>
    <w:pPr>
      <w:ind w:firstLine="200" w:firstLineChars="200"/>
    </w:pPr>
    <w:rPr>
      <w:rFonts w:ascii="Tahoma" w:hAnsi="Tahoma" w:cs="Times New Roman"/>
      <w:sz w:val="24"/>
      <w:szCs w:val="20"/>
    </w:rPr>
  </w:style>
  <w:style w:type="paragraph" w:customStyle="1" w:styleId="286">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87">
    <w:name w:val="_Style 43"/>
    <w:basedOn w:val="21"/>
    <w:qFormat/>
    <w:uiPriority w:val="0"/>
    <w:pPr>
      <w:shd w:val="clear" w:color="auto" w:fill="000080"/>
      <w:spacing w:line="360" w:lineRule="auto"/>
      <w:ind w:firstLine="200" w:firstLineChars="200"/>
    </w:pPr>
    <w:rPr>
      <w:rFonts w:ascii="Times New Roman" w:hAnsi="Times New Roman" w:cs="Times New Roman"/>
      <w:kern w:val="0"/>
      <w:sz w:val="28"/>
      <w:szCs w:val="20"/>
    </w:rPr>
  </w:style>
  <w:style w:type="paragraph" w:customStyle="1" w:styleId="288">
    <w:name w:val="普通 (Web)"/>
    <w:qFormat/>
    <w:uiPriority w:val="0"/>
    <w:pPr>
      <w:spacing w:before="100" w:after="100"/>
    </w:pPr>
    <w:rPr>
      <w:rFonts w:ascii="宋体" w:hAnsi="Times New Roman" w:eastAsia="宋体" w:cs="Times New Roman"/>
      <w:sz w:val="24"/>
      <w:lang w:val="en-US" w:eastAsia="zh-CN" w:bidi="ar-SA"/>
    </w:rPr>
  </w:style>
  <w:style w:type="paragraph" w:customStyle="1" w:styleId="289">
    <w:name w:val="BPDI注"/>
    <w:next w:val="1"/>
    <w:qFormat/>
    <w:uiPriority w:val="0"/>
    <w:pPr>
      <w:widowControl w:val="0"/>
      <w:tabs>
        <w:tab w:val="left" w:pos="1120"/>
      </w:tabs>
      <w:adjustRightInd w:val="0"/>
      <w:snapToGrid w:val="0"/>
      <w:spacing w:line="300" w:lineRule="auto"/>
      <w:ind w:firstLine="200" w:firstLineChars="200"/>
    </w:pPr>
    <w:rPr>
      <w:rFonts w:ascii="Arial" w:hAnsi="Arial" w:eastAsia="宋体" w:cs="Times New Roman"/>
      <w:kern w:val="2"/>
      <w:sz w:val="21"/>
      <w:szCs w:val="21"/>
      <w:lang w:val="en-US" w:eastAsia="zh-CN" w:bidi="ar-SA"/>
    </w:rPr>
  </w:style>
  <w:style w:type="paragraph" w:customStyle="1" w:styleId="290">
    <w:name w:val="BPDI表格编号"/>
    <w:next w:val="1"/>
    <w:qFormat/>
    <w:uiPriority w:val="0"/>
    <w:pPr>
      <w:widowControl w:val="0"/>
      <w:adjustRightInd w:val="0"/>
      <w:snapToGrid w:val="0"/>
      <w:spacing w:line="300" w:lineRule="auto"/>
      <w:ind w:firstLine="200" w:firstLineChars="200"/>
    </w:pPr>
    <w:rPr>
      <w:rFonts w:ascii="Arial" w:hAnsi="Arial" w:eastAsia="宋体" w:cs="Times New Roman"/>
      <w:kern w:val="2"/>
      <w:sz w:val="28"/>
      <w:szCs w:val="28"/>
      <w:lang w:val="en-US" w:eastAsia="zh-CN" w:bidi="ar-SA"/>
    </w:rPr>
  </w:style>
  <w:style w:type="paragraph" w:customStyle="1" w:styleId="291">
    <w:name w:val="首行缩进2"/>
    <w:basedOn w:val="1"/>
    <w:qFormat/>
    <w:uiPriority w:val="0"/>
    <w:pPr>
      <w:spacing w:line="360" w:lineRule="auto"/>
      <w:ind w:firstLine="482"/>
    </w:pPr>
    <w:rPr>
      <w:rFonts w:ascii="Times New Roman" w:hAnsi="Times New Roman" w:cs="Times New Roman"/>
      <w:sz w:val="24"/>
      <w:szCs w:val="24"/>
    </w:rPr>
  </w:style>
  <w:style w:type="character" w:customStyle="1" w:styleId="292">
    <w:name w:val="手改 Char"/>
    <w:qFormat/>
    <w:uiPriority w:val="0"/>
    <w:rPr>
      <w:kern w:val="2"/>
      <w:sz w:val="21"/>
      <w:szCs w:val="24"/>
    </w:rPr>
  </w:style>
  <w:style w:type="paragraph" w:customStyle="1" w:styleId="293">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94">
    <w:name w:val="普通文字 Char Char"/>
    <w:qFormat/>
    <w:uiPriority w:val="0"/>
    <w:rPr>
      <w:rFonts w:ascii="宋体" w:hAnsi="Courier New" w:cs="黑体"/>
      <w:spacing w:val="-20"/>
      <w:kern w:val="2"/>
      <w:sz w:val="21"/>
      <w:szCs w:val="21"/>
    </w:rPr>
  </w:style>
  <w:style w:type="paragraph" w:customStyle="1" w:styleId="295">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6">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7">
    <w:name w:val="xl67"/>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98">
    <w:name w:val="xl68"/>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299">
    <w:name w:val="xl69"/>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300">
    <w:name w:val="xl70"/>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301">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3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03">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04">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05">
    <w:name w:val="xl7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06">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30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308">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30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1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11">
    <w:name w:val="xl81"/>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31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1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1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1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1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1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1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2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2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22">
    <w:name w:val="xl92"/>
    <w:basedOn w:val="1"/>
    <w:qFormat/>
    <w:uiPriority w:val="0"/>
    <w:pPr>
      <w:widowControl/>
      <w:spacing w:before="100" w:beforeAutospacing="1" w:after="100" w:afterAutospacing="1"/>
      <w:jc w:val="center"/>
    </w:pPr>
    <w:rPr>
      <w:rFonts w:ascii="宋体" w:hAnsi="宋体" w:cs="宋体"/>
      <w:b/>
      <w:bCs/>
      <w:kern w:val="0"/>
      <w:sz w:val="18"/>
      <w:szCs w:val="18"/>
    </w:rPr>
  </w:style>
  <w:style w:type="paragraph" w:customStyle="1" w:styleId="32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2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2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26">
    <w:name w:val="xl96"/>
    <w:basedOn w:val="1"/>
    <w:qFormat/>
    <w:uiPriority w:val="0"/>
    <w:pPr>
      <w:widowControl/>
      <w:spacing w:before="100" w:beforeAutospacing="1" w:after="100" w:afterAutospacing="1"/>
      <w:jc w:val="center"/>
    </w:pPr>
    <w:rPr>
      <w:rFonts w:ascii="宋体" w:hAnsi="宋体" w:cs="宋体"/>
      <w:b/>
      <w:bCs/>
      <w:kern w:val="0"/>
      <w:sz w:val="24"/>
      <w:szCs w:val="24"/>
    </w:rPr>
  </w:style>
  <w:style w:type="paragraph" w:customStyle="1" w:styleId="327">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28">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329">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330">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331">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32">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333">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3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3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36">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szCs w:val="24"/>
    </w:rPr>
  </w:style>
  <w:style w:type="paragraph" w:customStyle="1" w:styleId="337">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38">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39">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1">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color w:val="000000"/>
      <w:kern w:val="0"/>
      <w:sz w:val="18"/>
      <w:szCs w:val="18"/>
    </w:rPr>
  </w:style>
  <w:style w:type="paragraph" w:customStyle="1" w:styleId="343">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color w:val="000000"/>
      <w:kern w:val="0"/>
      <w:sz w:val="18"/>
      <w:szCs w:val="18"/>
    </w:rPr>
  </w:style>
  <w:style w:type="paragraph" w:customStyle="1" w:styleId="344">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5">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6">
    <w:name w:val="xl116"/>
    <w:basedOn w:val="1"/>
    <w:qFormat/>
    <w:uiPriority w:val="0"/>
    <w:pPr>
      <w:widowControl/>
      <w:shd w:val="clear" w:color="000000" w:fill="FFFF00"/>
      <w:spacing w:before="100" w:beforeAutospacing="1" w:after="100" w:afterAutospacing="1"/>
      <w:jc w:val="center"/>
    </w:pPr>
    <w:rPr>
      <w:rFonts w:ascii="宋体" w:hAnsi="宋体" w:cs="宋体"/>
      <w:kern w:val="0"/>
      <w:sz w:val="18"/>
      <w:szCs w:val="18"/>
    </w:rPr>
  </w:style>
  <w:style w:type="paragraph" w:customStyle="1" w:styleId="347">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8">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49">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0">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1">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2">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3">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4">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55">
    <w:name w:val="xl125"/>
    <w:basedOn w:val="1"/>
    <w:qFormat/>
    <w:uiPriority w:val="0"/>
    <w:pPr>
      <w:widowControl/>
      <w:shd w:val="clear" w:color="000000" w:fill="FFFF00"/>
      <w:spacing w:before="100" w:beforeAutospacing="1" w:after="100" w:afterAutospacing="1"/>
      <w:jc w:val="left"/>
    </w:pPr>
    <w:rPr>
      <w:rFonts w:ascii="宋体" w:hAnsi="宋体" w:cs="宋体"/>
      <w:kern w:val="0"/>
      <w:sz w:val="18"/>
      <w:szCs w:val="18"/>
    </w:rPr>
  </w:style>
  <w:style w:type="paragraph" w:customStyle="1" w:styleId="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357">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18"/>
      <w:szCs w:val="18"/>
    </w:rPr>
  </w:style>
  <w:style w:type="paragraph" w:customStyle="1" w:styleId="358">
    <w:name w:val="xl128"/>
    <w:basedOn w:val="1"/>
    <w:qFormat/>
    <w:uiPriority w:val="0"/>
    <w:pPr>
      <w:widowControl/>
      <w:shd w:val="clear" w:color="000000" w:fill="FFFF00"/>
      <w:spacing w:before="100" w:beforeAutospacing="1" w:after="100" w:afterAutospacing="1"/>
      <w:jc w:val="left"/>
    </w:pPr>
    <w:rPr>
      <w:rFonts w:ascii="宋体" w:hAnsi="宋体" w:cs="宋体"/>
      <w:kern w:val="0"/>
      <w:sz w:val="18"/>
      <w:szCs w:val="18"/>
    </w:rPr>
  </w:style>
  <w:style w:type="paragraph" w:customStyle="1" w:styleId="359">
    <w:name w:val="xl129"/>
    <w:basedOn w:val="1"/>
    <w:qFormat/>
    <w:uiPriority w:val="0"/>
    <w:pPr>
      <w:widowControl/>
      <w:spacing w:before="100" w:beforeAutospacing="1" w:after="100" w:afterAutospacing="1"/>
      <w:jc w:val="center"/>
    </w:pPr>
    <w:rPr>
      <w:rFonts w:ascii="宋体" w:hAnsi="宋体" w:cs="宋体"/>
      <w:b/>
      <w:bCs/>
      <w:kern w:val="0"/>
      <w:sz w:val="40"/>
      <w:szCs w:val="40"/>
    </w:rPr>
  </w:style>
  <w:style w:type="paragraph" w:customStyle="1" w:styleId="360">
    <w:name w:val="xl130"/>
    <w:basedOn w:val="1"/>
    <w:qFormat/>
    <w:uiPriority w:val="0"/>
    <w:pPr>
      <w:widowControl/>
      <w:spacing w:before="100" w:beforeAutospacing="1" w:after="100" w:afterAutospacing="1"/>
      <w:jc w:val="center"/>
    </w:pPr>
    <w:rPr>
      <w:rFonts w:ascii="宋体" w:hAnsi="宋体" w:cs="宋体"/>
      <w:b/>
      <w:bCs/>
      <w:kern w:val="0"/>
      <w:sz w:val="40"/>
      <w:szCs w:val="40"/>
    </w:rPr>
  </w:style>
  <w:style w:type="paragraph" w:customStyle="1" w:styleId="36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6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63">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364">
    <w:name w:val="font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5">
    <w:name w:val="内容 1"/>
    <w:basedOn w:val="1"/>
    <w:qFormat/>
    <w:uiPriority w:val="0"/>
    <w:pPr>
      <w:widowControl/>
      <w:spacing w:line="320" w:lineRule="exact"/>
      <w:ind w:left="576"/>
    </w:pPr>
    <w:rPr>
      <w:rFonts w:ascii="Times New Roman" w:hAnsi="Times New Roman" w:cs="Times New Roman"/>
      <w:kern w:val="0"/>
      <w:sz w:val="24"/>
      <w:szCs w:val="20"/>
    </w:rPr>
  </w:style>
  <w:style w:type="paragraph" w:customStyle="1" w:styleId="366">
    <w:name w:val="表内文字"/>
    <w:basedOn w:val="1"/>
    <w:qFormat/>
    <w:uiPriority w:val="0"/>
    <w:pPr>
      <w:widowControl/>
      <w:autoSpaceDE w:val="0"/>
      <w:autoSpaceDN w:val="0"/>
      <w:spacing w:before="80" w:after="80"/>
    </w:pPr>
    <w:rPr>
      <w:rFonts w:ascii="Times New Roman" w:hAnsi="Times New Roman" w:cs="Times New Roman"/>
      <w:spacing w:val="4"/>
      <w:kern w:val="0"/>
      <w:sz w:val="18"/>
      <w:szCs w:val="20"/>
    </w:rPr>
  </w:style>
  <w:style w:type="paragraph" w:customStyle="1" w:styleId="367">
    <w:name w:val="表格标题"/>
    <w:basedOn w:val="1"/>
    <w:next w:val="366"/>
    <w:qFormat/>
    <w:uiPriority w:val="0"/>
    <w:pPr>
      <w:widowControl/>
      <w:autoSpaceDE w:val="0"/>
      <w:autoSpaceDN w:val="0"/>
      <w:snapToGrid w:val="0"/>
      <w:spacing w:before="80" w:after="80"/>
    </w:pPr>
    <w:rPr>
      <w:rFonts w:ascii="黑体" w:hAnsi="Times New Roman" w:eastAsia="黑体" w:cs="Times New Roman"/>
      <w:spacing w:val="4"/>
      <w:kern w:val="0"/>
      <w:szCs w:val="20"/>
    </w:rPr>
  </w:style>
  <w:style w:type="character" w:customStyle="1" w:styleId="368">
    <w:name w:val="font01"/>
    <w:basedOn w:val="119"/>
    <w:qFormat/>
    <w:uiPriority w:val="0"/>
    <w:rPr>
      <w:rFonts w:hint="eastAsia" w:ascii="宋体" w:hAnsi="宋体" w:eastAsia="宋体" w:cs="宋体"/>
      <w:color w:val="000000"/>
      <w:sz w:val="18"/>
      <w:szCs w:val="18"/>
      <w:u w:val="none"/>
      <w:vertAlign w:val="superscript"/>
    </w:rPr>
  </w:style>
  <w:style w:type="character" w:customStyle="1" w:styleId="369">
    <w:name w:val="font41"/>
    <w:basedOn w:val="119"/>
    <w:qFormat/>
    <w:uiPriority w:val="0"/>
    <w:rPr>
      <w:rFonts w:hint="eastAsia" w:ascii="宋体" w:hAnsi="宋体" w:eastAsia="宋体" w:cs="宋体"/>
      <w:color w:val="000000"/>
      <w:sz w:val="20"/>
      <w:szCs w:val="20"/>
      <w:u w:val="none"/>
    </w:rPr>
  </w:style>
  <w:style w:type="character" w:customStyle="1" w:styleId="370">
    <w:name w:val="font11"/>
    <w:basedOn w:val="119"/>
    <w:qFormat/>
    <w:uiPriority w:val="0"/>
    <w:rPr>
      <w:rFonts w:hint="eastAsia" w:ascii="宋体" w:hAnsi="宋体" w:eastAsia="宋体" w:cs="宋体"/>
      <w:color w:val="000000"/>
      <w:sz w:val="20"/>
      <w:szCs w:val="20"/>
      <w:u w:val="none"/>
      <w:vertAlign w:val="superscript"/>
    </w:rPr>
  </w:style>
  <w:style w:type="character" w:customStyle="1" w:styleId="371">
    <w:name w:val="font21"/>
    <w:basedOn w:val="119"/>
    <w:qFormat/>
    <w:uiPriority w:val="0"/>
    <w:rPr>
      <w:rFonts w:hint="default" w:ascii="Times New Roman" w:hAnsi="Times New Roman" w:cs="Times New Roman"/>
      <w:color w:val="000000"/>
      <w:sz w:val="20"/>
      <w:szCs w:val="20"/>
      <w:u w:val="none"/>
    </w:rPr>
  </w:style>
  <w:style w:type="character" w:customStyle="1" w:styleId="372">
    <w:name w:val="NormalCharacter"/>
    <w:qFormat/>
    <w:uiPriority w:val="0"/>
  </w:style>
  <w:style w:type="paragraph" w:customStyle="1" w:styleId="373">
    <w:name w:val="样式 DHCC 公司正文首行缩进:  2 字符"/>
    <w:basedOn w:val="1"/>
    <w:qFormat/>
    <w:uiPriority w:val="0"/>
    <w:pPr>
      <w:spacing w:line="360" w:lineRule="auto"/>
      <w:ind w:firstLine="200" w:firstLineChars="200"/>
      <w:jc w:val="left"/>
    </w:pPr>
    <w:rPr>
      <w:rFonts w:ascii="Calibri" w:hAnsi="Calibri" w:cs="宋体"/>
      <w:sz w:val="24"/>
      <w:szCs w:val="21"/>
    </w:rPr>
  </w:style>
  <w:style w:type="paragraph" w:customStyle="1" w:styleId="374">
    <w:name w:val="Heading1"/>
    <w:basedOn w:val="1"/>
    <w:next w:val="1"/>
    <w:link w:val="375"/>
    <w:qFormat/>
    <w:uiPriority w:val="0"/>
    <w:pPr>
      <w:keepNext/>
      <w:keepLines/>
      <w:widowControl/>
      <w:spacing w:before="340" w:after="330" w:line="578" w:lineRule="auto"/>
      <w:ind w:firstLine="200" w:firstLineChars="200"/>
      <w:jc w:val="center"/>
      <w:textAlignment w:val="baseline"/>
    </w:pPr>
    <w:rPr>
      <w:rFonts w:ascii="Times New Roman" w:hAnsi="Times New Roman" w:cs="Times New Roman"/>
      <w:b/>
      <w:bCs/>
      <w:kern w:val="44"/>
      <w:sz w:val="44"/>
      <w:szCs w:val="44"/>
    </w:rPr>
  </w:style>
  <w:style w:type="character" w:customStyle="1" w:styleId="375">
    <w:name w:val="UserStyle_2"/>
    <w:basedOn w:val="372"/>
    <w:link w:val="374"/>
    <w:qFormat/>
    <w:uiPriority w:val="0"/>
    <w:rPr>
      <w:rFonts w:ascii="Times New Roman" w:hAnsi="Times New Roman" w:eastAsia="宋体" w:cs="Times New Roman"/>
      <w:b/>
      <w:bCs/>
      <w:kern w:val="44"/>
      <w:sz w:val="44"/>
      <w:szCs w:val="44"/>
    </w:rPr>
  </w:style>
  <w:style w:type="paragraph" w:styleId="376">
    <w:name w:val="List Paragraph"/>
    <w:basedOn w:val="1"/>
    <w:unhideWhenUsed/>
    <w:qFormat/>
    <w:uiPriority w:val="99"/>
    <w:pPr>
      <w:ind w:firstLine="420" w:firstLineChars="200"/>
    </w:pPr>
  </w:style>
  <w:style w:type="paragraph" w:customStyle="1" w:styleId="377">
    <w:name w:val="样式 样式 标题 1 + 段前: 0.5 行 段后: 0.5 行 + 段后: 0.5 行"/>
    <w:basedOn w:val="1"/>
    <w:qFormat/>
    <w:uiPriority w:val="0"/>
    <w:pPr>
      <w:keepNext/>
      <w:keepLines/>
      <w:spacing w:before="156" w:beforeLines="50" w:after="156" w:afterLines="50" w:line="360" w:lineRule="auto"/>
      <w:outlineLvl w:val="0"/>
    </w:pPr>
    <w:rPr>
      <w:rFonts w:ascii="Courier New" w:hAnsi="Courier New" w:cs="宋体"/>
      <w:b/>
      <w:bCs/>
      <w:kern w:val="44"/>
      <w:sz w:val="32"/>
      <w:szCs w:val="20"/>
    </w:rPr>
  </w:style>
  <w:style w:type="paragraph" w:customStyle="1" w:styleId="378">
    <w:name w:val="样式 标题 2 + Courier New 四号"/>
    <w:basedOn w:val="3"/>
    <w:qFormat/>
    <w:uiPriority w:val="0"/>
    <w:pPr>
      <w:spacing w:before="156" w:beforeLines="50" w:after="156" w:afterLines="50" w:line="360" w:lineRule="auto"/>
    </w:pPr>
    <w:rPr>
      <w:rFonts w:ascii="Courier New" w:hAnsi="Courier New" w:cs="黑体"/>
      <w:sz w:val="28"/>
    </w:rPr>
  </w:style>
  <w:style w:type="character" w:customStyle="1" w:styleId="379">
    <w:name w:val="font31"/>
    <w:basedOn w:val="11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5B1B1A-D018-4D5F-9521-EDC5B23F446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8500</Words>
  <Characters>9736</Characters>
  <Lines>93</Lines>
  <Paragraphs>26</Paragraphs>
  <TotalTime>138</TotalTime>
  <ScaleCrop>false</ScaleCrop>
  <LinksUpToDate>false</LinksUpToDate>
  <CharactersWithSpaces>10596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2022-09-19T06:11:00Z</dcterms:created>
  <dc:creator>SQZ</dc:creator>
  <cp:lastModifiedBy>rjs</cp:lastModifiedBy>
  <cp:lastPrinted>2018-04-26T13:35:00Z</cp:lastPrinted>
  <dcterms:modified xsi:type="dcterms:W3CDTF">2023-02-23T06:05:46Z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EC9F986DD4914256A81CBBDB4A9F181F</vt:lpwstr>
  </property>
</Properties>
</file>